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A17E66"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A17E66" w:rsidRDefault="001E7A02" w:rsidP="008778CE">
            <w:pPr>
              <w:spacing w:after="0" w:line="240" w:lineRule="auto"/>
              <w:jc w:val="center"/>
              <w:rPr>
                <w:rFonts w:asciiTheme="majorHAnsi" w:hAnsiTheme="majorHAnsi" w:cstheme="majorHAnsi"/>
                <w:sz w:val="22"/>
              </w:rPr>
            </w:pPr>
            <w:r w:rsidRPr="00A17E66">
              <w:rPr>
                <w:rFonts w:asciiTheme="majorHAnsi" w:hAnsiTheme="majorHAnsi" w:cstheme="majorHAnsi"/>
                <w:b/>
                <w:color w:val="FFFFFF"/>
                <w:sz w:val="22"/>
              </w:rPr>
              <w:t xml:space="preserve">IŠTEKLIŲ AGENTŪRA </w:t>
            </w:r>
            <w:r w:rsidR="00735D34" w:rsidRPr="00A17E66">
              <w:rPr>
                <w:rFonts w:asciiTheme="majorHAnsi" w:hAnsiTheme="majorHAnsi" w:cstheme="majorHAnsi"/>
                <w:b/>
                <w:color w:val="FFFFFF"/>
                <w:sz w:val="22"/>
              </w:rPr>
              <w:t xml:space="preserve"> &gt; PIRKIMO DOKUMENTAI &gt; TECHNINĖ SPECIFIKACIJA</w:t>
            </w:r>
          </w:p>
        </w:tc>
      </w:tr>
    </w:tbl>
    <w:p w14:paraId="66A20C7A" w14:textId="77777777" w:rsidR="00735D34" w:rsidRPr="00A17E66"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A17E66"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D37AFE3" w:rsidR="00735D34" w:rsidRPr="00A17E66" w:rsidRDefault="008778CE" w:rsidP="00F072B9">
            <w:pPr>
              <w:pStyle w:val="TEKSTAS"/>
              <w:numPr>
                <w:ilvl w:val="0"/>
                <w:numId w:val="0"/>
              </w:numPr>
              <w:ind w:left="360" w:hanging="360"/>
              <w:jc w:val="center"/>
              <w:rPr>
                <w:rFonts w:asciiTheme="majorHAnsi" w:hAnsiTheme="majorHAnsi" w:cstheme="majorHAnsi"/>
                <w:sz w:val="22"/>
                <w:szCs w:val="22"/>
              </w:rPr>
            </w:pPr>
            <w:r w:rsidRPr="00A17E66">
              <w:rPr>
                <w:rFonts w:asciiTheme="majorHAnsi" w:hAnsiTheme="majorHAnsi" w:cstheme="majorHAnsi"/>
                <w:b/>
                <w:sz w:val="22"/>
                <w:szCs w:val="22"/>
              </w:rPr>
              <w:t xml:space="preserve"> </w:t>
            </w:r>
            <w:r w:rsidR="00A17E66" w:rsidRPr="00A17E66">
              <w:rPr>
                <w:rFonts w:asciiTheme="majorHAnsi" w:hAnsiTheme="majorHAnsi" w:cstheme="majorHAnsi"/>
                <w:b/>
                <w:bCs/>
                <w:sz w:val="22"/>
                <w:szCs w:val="22"/>
              </w:rPr>
              <w:t>Echoskopas (aukštos klasės ultragarso aparatas) (PPR-27</w:t>
            </w:r>
            <w:r w:rsidR="005C3B30">
              <w:rPr>
                <w:rFonts w:asciiTheme="majorHAnsi" w:hAnsiTheme="majorHAnsi" w:cstheme="majorHAnsi"/>
                <w:b/>
                <w:bCs/>
                <w:sz w:val="22"/>
                <w:szCs w:val="22"/>
              </w:rPr>
              <w:t>6</w:t>
            </w:r>
            <w:r w:rsidR="00A17E66" w:rsidRPr="00A17E66">
              <w:rPr>
                <w:rFonts w:asciiTheme="majorHAnsi" w:hAnsiTheme="majorHAnsi" w:cstheme="majorHAnsi"/>
                <w:b/>
                <w:bCs/>
                <w:sz w:val="22"/>
                <w:szCs w:val="22"/>
              </w:rPr>
              <w:t>)</w:t>
            </w:r>
          </w:p>
        </w:tc>
      </w:tr>
    </w:tbl>
    <w:p w14:paraId="0809376D" w14:textId="64F995DE" w:rsidR="00E66666" w:rsidRPr="00A17E66" w:rsidRDefault="00E66666">
      <w:pPr>
        <w:rPr>
          <w:rFonts w:asciiTheme="majorHAnsi" w:hAnsiTheme="majorHAnsi" w:cstheme="majorHAnsi"/>
          <w:sz w:val="22"/>
        </w:rPr>
      </w:pPr>
    </w:p>
    <w:p w14:paraId="7C85901F" w14:textId="77777777" w:rsidR="00A17E66" w:rsidRPr="00A17E66" w:rsidRDefault="00A17E66" w:rsidP="00A17E66">
      <w:pPr>
        <w:pStyle w:val="Antrats"/>
        <w:tabs>
          <w:tab w:val="left" w:pos="720"/>
        </w:tabs>
        <w:jc w:val="center"/>
        <w:rPr>
          <w:rFonts w:asciiTheme="majorHAnsi" w:hAnsiTheme="majorHAnsi" w:cstheme="majorHAnsi"/>
          <w:sz w:val="22"/>
          <w:szCs w:val="22"/>
          <w:lang w:val="lt-LT"/>
        </w:rPr>
      </w:pPr>
      <w:r w:rsidRPr="00A17E66">
        <w:rPr>
          <w:rFonts w:asciiTheme="majorHAnsi" w:hAnsiTheme="majorHAnsi" w:cstheme="majorHAnsi"/>
          <w:b/>
          <w:bCs/>
          <w:color w:val="000000"/>
          <w:sz w:val="22"/>
          <w:szCs w:val="22"/>
          <w:lang w:val="lt-LT" w:eastAsia="lt-LT"/>
        </w:rPr>
        <w:t>BEDNRIEJI REIKALAVIMAI</w:t>
      </w:r>
    </w:p>
    <w:p w14:paraId="2AF6ED86" w14:textId="77777777" w:rsidR="00A17E66" w:rsidRPr="00A17E66" w:rsidRDefault="00A17E66" w:rsidP="00A17E66">
      <w:pPr>
        <w:pStyle w:val="Antrats"/>
        <w:tabs>
          <w:tab w:val="left" w:pos="720"/>
        </w:tabs>
        <w:rPr>
          <w:rFonts w:asciiTheme="majorHAnsi" w:hAnsiTheme="majorHAnsi" w:cstheme="majorHAnsi"/>
          <w:sz w:val="22"/>
          <w:szCs w:val="22"/>
          <w:lang w:val="lt-LT"/>
        </w:rPr>
      </w:pPr>
    </w:p>
    <w:p w14:paraId="5E02F5AF"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sz w:val="22"/>
          <w:szCs w:val="22"/>
          <w:lang w:val="lt-LT"/>
        </w:rPr>
      </w:pPr>
      <w:r w:rsidRPr="00A17E66">
        <w:rPr>
          <w:rFonts w:asciiTheme="majorHAnsi" w:hAnsiTheme="majorHAnsi" w:cstheme="majorHAnsi"/>
          <w:sz w:val="22"/>
          <w:szCs w:val="22"/>
          <w:lang w:val="lt-LT"/>
        </w:rPr>
        <w:t>Aukštos klasės ultragarso aparatas (toliau - įranga arba prietaisas, arba prekė) aprašymas teikiamas 1 lentelėje.</w:t>
      </w:r>
    </w:p>
    <w:p w14:paraId="329829C5"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sz w:val="22"/>
          <w:szCs w:val="22"/>
          <w:lang w:val="lt-LT"/>
        </w:rPr>
      </w:pPr>
      <w:r w:rsidRPr="00A17E66">
        <w:rPr>
          <w:rFonts w:asciiTheme="majorHAnsi" w:hAnsiTheme="majorHAnsi" w:cstheme="majorHAnsi"/>
          <w:sz w:val="22"/>
          <w:szCs w:val="22"/>
          <w:lang w:val="lt-LT"/>
        </w:rPr>
        <w:t>Prekių pristatymo vieta: Žygimantų g. 8, Vilnius.</w:t>
      </w:r>
    </w:p>
    <w:p w14:paraId="12873353"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sz w:val="22"/>
          <w:szCs w:val="22"/>
          <w:lang w:val="lt-LT"/>
        </w:rPr>
      </w:pPr>
      <w:r w:rsidRPr="00A17E66">
        <w:rPr>
          <w:rFonts w:asciiTheme="majorHAnsi" w:hAnsiTheme="majorHAnsi" w:cstheme="majorHAnsi"/>
          <w:sz w:val="22"/>
          <w:szCs w:val="22"/>
          <w:lang w:val="lt-LT"/>
        </w:rPr>
        <w:t>Prekių pristatymo terminas: 3 (trys) mėnesiai nuo sutarties įsigaliojimo dienos.</w:t>
      </w:r>
    </w:p>
    <w:p w14:paraId="67C8B8F0" w14:textId="77777777" w:rsidR="00A17E66" w:rsidRPr="00A17E66" w:rsidRDefault="00A17E66" w:rsidP="00A17E66">
      <w:pPr>
        <w:numPr>
          <w:ilvl w:val="0"/>
          <w:numId w:val="3"/>
        </w:numPr>
        <w:tabs>
          <w:tab w:val="clear" w:pos="276"/>
          <w:tab w:val="left" w:pos="284"/>
          <w:tab w:val="left" w:pos="709"/>
          <w:tab w:val="left" w:pos="851"/>
        </w:tabs>
        <w:autoSpaceDN/>
        <w:spacing w:after="0" w:line="240" w:lineRule="auto"/>
        <w:ind w:left="0" w:firstLine="357"/>
        <w:contextualSpacing/>
        <w:jc w:val="both"/>
        <w:textAlignment w:val="auto"/>
        <w:rPr>
          <w:rFonts w:asciiTheme="majorHAnsi" w:hAnsiTheme="majorHAnsi" w:cstheme="majorHAnsi"/>
          <w:sz w:val="22"/>
        </w:rPr>
      </w:pPr>
      <w:r w:rsidRPr="00A17E66">
        <w:rPr>
          <w:rFonts w:asciiTheme="majorHAnsi" w:hAnsiTheme="majorHAnsi" w:cstheme="majorHAnsi"/>
          <w:b/>
          <w:bCs/>
          <w:sz w:val="22"/>
        </w:rPr>
        <w:t xml:space="preserve">Siūlomai įrangai </w:t>
      </w:r>
      <w:r w:rsidRPr="00A17E66">
        <w:rPr>
          <w:rFonts w:asciiTheme="majorHAnsi" w:hAnsiTheme="majorHAnsi" w:cstheme="majorHAnsi"/>
          <w:b/>
          <w:bCs/>
          <w:color w:val="000000"/>
          <w:sz w:val="22"/>
          <w:lang w:eastAsia="lt-LT"/>
        </w:rPr>
        <w:t>Tiekėjas turi pateikti dokumentus, įrodančius siūlomos įrangos atitikimą kokybės ir techniniams reikalavimams</w:t>
      </w:r>
      <w:r w:rsidRPr="00A17E66">
        <w:rPr>
          <w:rFonts w:asciiTheme="majorHAnsi" w:hAnsiTheme="majorHAnsi" w:cstheme="majorHAnsi"/>
          <w:color w:val="000000"/>
          <w:sz w:val="22"/>
          <w:lang w:eastAsia="lt-LT"/>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A17E66">
        <w:rPr>
          <w:rFonts w:asciiTheme="majorHAnsi" w:hAnsiTheme="majorHAnsi" w:cstheme="majorHAnsi"/>
          <w:color w:val="000000"/>
          <w:sz w:val="22"/>
          <w:lang w:eastAsia="lt-LT"/>
        </w:rPr>
        <w:t>pdf</w:t>
      </w:r>
      <w:proofErr w:type="spellEnd"/>
      <w:r w:rsidRPr="00A17E66">
        <w:rPr>
          <w:rFonts w:asciiTheme="majorHAnsi" w:hAnsiTheme="majorHAnsi" w:cstheme="majorHAnsi"/>
          <w:color w:val="000000"/>
          <w:sz w:val="22"/>
          <w:lang w:eastAsia="lt-LT"/>
        </w:rPr>
        <w:t xml:space="preserve"> formatu) su vertimu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A6BBB76" w14:textId="77777777" w:rsidR="00A17E66" w:rsidRPr="00A17E66" w:rsidRDefault="00A17E66" w:rsidP="00A17E66">
      <w:pPr>
        <w:numPr>
          <w:ilvl w:val="0"/>
          <w:numId w:val="3"/>
        </w:numPr>
        <w:tabs>
          <w:tab w:val="clear" w:pos="276"/>
          <w:tab w:val="left" w:pos="284"/>
          <w:tab w:val="left" w:pos="709"/>
          <w:tab w:val="left" w:pos="851"/>
        </w:tabs>
        <w:autoSpaceDN/>
        <w:spacing w:after="0" w:line="240" w:lineRule="auto"/>
        <w:ind w:left="0" w:firstLine="357"/>
        <w:contextualSpacing/>
        <w:jc w:val="both"/>
        <w:textAlignment w:val="auto"/>
        <w:rPr>
          <w:rFonts w:asciiTheme="majorHAnsi" w:hAnsiTheme="majorHAnsi" w:cstheme="majorHAnsi"/>
          <w:color w:val="000000"/>
          <w:sz w:val="22"/>
          <w:lang w:eastAsia="lt-LT"/>
        </w:rPr>
      </w:pPr>
      <w:r w:rsidRPr="00A17E66">
        <w:rPr>
          <w:rFonts w:asciiTheme="majorHAnsi" w:hAnsiTheme="majorHAnsi" w:cstheme="majorHAnsi"/>
          <w:color w:val="000000"/>
          <w:sz w:val="22"/>
          <w:lang w:eastAsia="lt-LT"/>
        </w:rPr>
        <w:t>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2036367" w14:textId="77777777" w:rsidR="00A17E66" w:rsidRPr="00A17E66" w:rsidRDefault="00A17E66" w:rsidP="00A17E66">
      <w:pPr>
        <w:numPr>
          <w:ilvl w:val="0"/>
          <w:numId w:val="3"/>
        </w:numPr>
        <w:tabs>
          <w:tab w:val="clear" w:pos="276"/>
          <w:tab w:val="left" w:pos="284"/>
          <w:tab w:val="left" w:pos="709"/>
          <w:tab w:val="left" w:pos="851"/>
        </w:tabs>
        <w:autoSpaceDN/>
        <w:spacing w:after="0" w:line="240" w:lineRule="auto"/>
        <w:ind w:left="0" w:firstLine="357"/>
        <w:contextualSpacing/>
        <w:jc w:val="both"/>
        <w:textAlignment w:val="auto"/>
        <w:rPr>
          <w:rFonts w:asciiTheme="majorHAnsi" w:hAnsiTheme="majorHAnsi" w:cstheme="majorHAnsi"/>
          <w:b/>
          <w:bCs/>
          <w:color w:val="00000A"/>
          <w:kern w:val="2"/>
          <w:sz w:val="22"/>
          <w:lang w:eastAsia="lt-LT"/>
        </w:rPr>
      </w:pPr>
      <w:r w:rsidRPr="00A17E66">
        <w:rPr>
          <w:rFonts w:asciiTheme="majorHAnsi" w:hAnsiTheme="majorHAnsi" w:cstheme="majorHAnsi"/>
          <w:color w:val="000000"/>
          <w:sz w:val="22"/>
          <w:lang w:eastAsia="lt-LT"/>
        </w:rPr>
        <w:t xml:space="preserve">Siūlomos prekės privalo turėti CE sertifikatą arba EB deklaraciją. </w:t>
      </w:r>
      <w:r w:rsidRPr="00CB42B6">
        <w:rPr>
          <w:rFonts w:asciiTheme="majorHAnsi" w:hAnsiTheme="majorHAnsi" w:cstheme="majorHAnsi"/>
          <w:b/>
          <w:bCs/>
          <w:color w:val="000000"/>
          <w:sz w:val="22"/>
          <w:lang w:eastAsia="lt-LT"/>
        </w:rPr>
        <w:t>Tiekėjas kartu su pasiūlymu privalo pateikti CE sertifikato arba EB deklaracijos kopiją.</w:t>
      </w:r>
      <w:r w:rsidRPr="00CB42B6">
        <w:rPr>
          <w:rFonts w:asciiTheme="majorHAnsi" w:hAnsiTheme="majorHAnsi" w:cstheme="majorHAnsi"/>
          <w:color w:val="000000"/>
          <w:sz w:val="22"/>
          <w:lang w:eastAsia="lt-LT"/>
        </w:rPr>
        <w:t xml:space="preserve"> Pateikiant EB deklaracijos kopiją, kad pasiūlyta prekė atitiks reikiamus standartus, bei prekės klasei būtinus reglamentus, kartu pateikiami</w:t>
      </w:r>
      <w:r w:rsidRPr="00A17E66">
        <w:rPr>
          <w:rFonts w:asciiTheme="majorHAnsi" w:hAnsiTheme="majorHAnsi" w:cstheme="majorHAnsi"/>
          <w:color w:val="000000"/>
          <w:sz w:val="22"/>
          <w:lang w:eastAsia="lt-LT"/>
        </w:rPr>
        <w:t xml:space="preserve"> ir techniniai dokumentai, pagrindžiantys prekės atitiktį reikiamiems standartams bei reglamentams.</w:t>
      </w:r>
    </w:p>
    <w:p w14:paraId="47092F79"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color w:val="000000"/>
          <w:sz w:val="22"/>
          <w:szCs w:val="22"/>
          <w:lang w:val="lt-LT"/>
        </w:rPr>
      </w:pPr>
      <w:r w:rsidRPr="00A17E66">
        <w:rPr>
          <w:rFonts w:asciiTheme="majorHAnsi" w:hAnsiTheme="majorHAnsi" w:cstheme="majorHAnsi"/>
          <w:b/>
          <w:bCs/>
          <w:sz w:val="22"/>
          <w:szCs w:val="22"/>
          <w:lang w:val="lt-LT"/>
        </w:rPr>
        <w:t>Tiekėjas kartu su pasiūlymu turi pateikti d</w:t>
      </w:r>
      <w:r w:rsidRPr="00A17E66">
        <w:rPr>
          <w:rFonts w:asciiTheme="majorHAnsi" w:hAnsiTheme="majorHAnsi" w:cstheme="majorHAnsi"/>
          <w:b/>
          <w:bCs/>
          <w:color w:val="000000"/>
          <w:sz w:val="22"/>
          <w:szCs w:val="22"/>
          <w:lang w:val="lt-LT"/>
        </w:rPr>
        <w:t>okumentą, patvirtinantį, kad tiekėjas yra oficialus siūlomos medicinos įrangos gamintojo atstovas arba turi rašytinį susitarimą su tokiu atstovu dėl prekybos šia įranga</w:t>
      </w:r>
      <w:r w:rsidRPr="00A17E66">
        <w:rPr>
          <w:rFonts w:asciiTheme="majorHAnsi" w:hAnsiTheme="majorHAnsi" w:cstheme="majorHAnsi"/>
          <w:color w:val="000000"/>
          <w:sz w:val="22"/>
          <w:szCs w:val="22"/>
          <w:lang w:val="lt-LT"/>
        </w:rPr>
        <w:t>, nes perkama įranga bus naudojama medicinos srityje, todėl svarbu įsitikinti, kad įranga įsigyjama teisėtai, perpardavėjas yra legalus įrangos platintojas, įranga bus tinkamos kokybės, tiekiama laiku.</w:t>
      </w:r>
    </w:p>
    <w:p w14:paraId="466F129E" w14:textId="77777777" w:rsidR="00A17E66" w:rsidRPr="00A17E66" w:rsidRDefault="00A17E66" w:rsidP="00A17E66">
      <w:pPr>
        <w:widowControl w:val="0"/>
        <w:numPr>
          <w:ilvl w:val="0"/>
          <w:numId w:val="3"/>
        </w:numPr>
        <w:autoSpaceDN/>
        <w:spacing w:after="0" w:line="240" w:lineRule="auto"/>
        <w:ind w:left="0" w:firstLine="357"/>
        <w:jc w:val="both"/>
        <w:textAlignment w:val="auto"/>
        <w:rPr>
          <w:rFonts w:asciiTheme="majorHAnsi" w:hAnsiTheme="majorHAnsi" w:cstheme="majorHAnsi"/>
          <w:sz w:val="22"/>
        </w:rPr>
      </w:pPr>
      <w:r w:rsidRPr="00A17E66">
        <w:rPr>
          <w:rFonts w:asciiTheme="majorHAnsi" w:eastAsia="Arial Unicode MS" w:hAnsiTheme="majorHAnsi" w:cstheme="majorHAnsi"/>
          <w:color w:val="000000"/>
          <w:sz w:val="22"/>
        </w:rPr>
        <w:t>Tiekėjas turi užtikrinti galimybę įsigyti siūlomos prekės originalias (arba joms lygiavertes) atsargines dalis (jų tiekimą rinkai) ne trumpiau kaip 5 metus (</w:t>
      </w:r>
      <w:r w:rsidRPr="00A17E66">
        <w:rPr>
          <w:rFonts w:asciiTheme="majorHAnsi" w:eastAsia="Arial Unicode MS" w:hAnsiTheme="majorHAnsi" w:cstheme="majorHAnsi"/>
          <w:i/>
          <w:iCs/>
          <w:color w:val="000000"/>
          <w:sz w:val="22"/>
        </w:rPr>
        <w:t>prašome nurodyti konkrečią trukmę</w:t>
      </w:r>
      <w:r w:rsidRPr="00A17E66">
        <w:rPr>
          <w:rFonts w:asciiTheme="majorHAnsi" w:eastAsia="Arial Unicode MS" w:hAnsiTheme="majorHAnsi" w:cstheme="majorHAnsi"/>
          <w:color w:val="000000"/>
          <w:sz w:val="22"/>
        </w:rPr>
        <w:t xml:space="preserve">) nuo prekės garantinio laikotarpio pabaigos, išskyrus atvejus, kai siūlomos prekės originalios (arba joms lygiavertės) atsarginės dalys dėl objektyvių priežasčių negali būti tiekiamos Lietuvos Respublikos rinkai </w:t>
      </w:r>
      <w:r w:rsidRPr="00A17E66">
        <w:rPr>
          <w:rFonts w:asciiTheme="majorHAnsi" w:eastAsia="Arial Unicode MS" w:hAnsiTheme="majorHAnsi" w:cstheme="majorHAnsi"/>
          <w:b/>
          <w:bCs/>
          <w:i/>
          <w:iCs/>
          <w:color w:val="000000"/>
          <w:sz w:val="22"/>
        </w:rPr>
        <w:t>(būtinas tiekėjo ir / arba gamintojo atitinkamas patvirtinimas).</w:t>
      </w:r>
    </w:p>
    <w:p w14:paraId="1F2EDF79" w14:textId="175A4E42"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sz w:val="22"/>
          <w:szCs w:val="22"/>
          <w:lang w:val="lt-LT"/>
        </w:rPr>
      </w:pPr>
      <w:bookmarkStart w:id="0" w:name="_Hlk194924544"/>
      <w:r w:rsidRPr="00A17E66">
        <w:rPr>
          <w:rFonts w:asciiTheme="majorHAnsi" w:hAnsiTheme="majorHAnsi" w:cstheme="majorHAnsi"/>
          <w:color w:val="000000"/>
          <w:sz w:val="22"/>
          <w:szCs w:val="22"/>
          <w:lang w:val="lt-LT" w:eastAsia="lt-LT"/>
        </w:rPr>
        <w:t>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bookmarkEnd w:id="0"/>
      <w:r w:rsidRPr="00A17E66">
        <w:rPr>
          <w:rFonts w:asciiTheme="majorHAnsi" w:hAnsiTheme="majorHAnsi" w:cstheme="majorHAnsi"/>
          <w:color w:val="000000"/>
          <w:sz w:val="22"/>
          <w:szCs w:val="22"/>
          <w:lang w:val="lt-LT" w:eastAsia="lt-LT"/>
        </w:rPr>
        <w:t>.</w:t>
      </w:r>
    </w:p>
    <w:p w14:paraId="7E43A415" w14:textId="2EF9E1F4" w:rsidR="00CB42B6" w:rsidRPr="00CB42B6" w:rsidRDefault="00CB42B6" w:rsidP="00CB42B6">
      <w:pPr>
        <w:pStyle w:val="Sraopastraipa"/>
        <w:widowControl w:val="0"/>
        <w:numPr>
          <w:ilvl w:val="0"/>
          <w:numId w:val="3"/>
        </w:numPr>
        <w:ind w:left="0" w:firstLine="284"/>
        <w:jc w:val="both"/>
        <w:rPr>
          <w:rFonts w:asciiTheme="majorHAnsi" w:hAnsiTheme="majorHAnsi" w:cstheme="majorHAnsi"/>
          <w:sz w:val="22"/>
        </w:rPr>
      </w:pPr>
      <w:r>
        <w:rPr>
          <w:rFonts w:asciiTheme="majorHAnsi" w:eastAsia="Arial Unicode MS" w:hAnsiTheme="majorHAnsi" w:cstheme="majorHAnsi"/>
          <w:color w:val="000000"/>
          <w:sz w:val="22"/>
        </w:rPr>
        <w:t>Aplinkosauginis r</w:t>
      </w:r>
      <w:r w:rsidRPr="00CB42B6">
        <w:rPr>
          <w:rFonts w:asciiTheme="majorHAnsi" w:eastAsia="Arial Unicode MS" w:hAnsiTheme="majorHAnsi" w:cstheme="majorHAnsi"/>
          <w:color w:val="000000"/>
          <w:sz w:val="22"/>
        </w:rPr>
        <w:t xml:space="preserve">eikalavimas taikomas vadovaujantis </w:t>
      </w:r>
      <w:r w:rsidRPr="00CB42B6">
        <w:rPr>
          <w:rFonts w:asciiTheme="majorHAnsi" w:eastAsia="Arial Unicode MS" w:hAnsiTheme="majorHAnsi" w:cstheme="majorHAnsi"/>
          <w:color w:val="000000"/>
          <w:sz w:val="22"/>
          <w:shd w:val="clear" w:color="auto" w:fill="FFFFFF"/>
        </w:rPr>
        <w:t>Lietuvos Respublikos aplinkos ministro 2022 m. gruodžio 13 d. įsakymu Nr. D1-401 patvirtinto aplinkos apsaugos kriterijų taikymo, vykdant žaliuosius pirkimus, tvarkos aprašo II skyriaus 4.4.4.4 punktu.</w:t>
      </w:r>
    </w:p>
    <w:p w14:paraId="643FDFEC"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sz w:val="22"/>
          <w:szCs w:val="22"/>
          <w:lang w:val="lt-LT"/>
        </w:rPr>
      </w:pPr>
      <w:r w:rsidRPr="00A17E66">
        <w:rPr>
          <w:rFonts w:asciiTheme="majorHAnsi" w:hAnsiTheme="majorHAnsi" w:cstheme="majorHAnsi"/>
          <w:sz w:val="22"/>
          <w:szCs w:val="22"/>
          <w:lang w:val="lt-LT"/>
        </w:rPr>
        <w:t>Jeigu prekės supakuojamos į antrinę pakuotę, prekių antrinės pakuotės turi būti laikytinos perdirbamosiomis pakuotėmis pagal Lietuvos Respublikos mokesčio už aplinkos teršimą įstatymo nuostatas.</w:t>
      </w:r>
    </w:p>
    <w:p w14:paraId="017E5F11" w14:textId="435E284E" w:rsidR="00A17E66" w:rsidRPr="00A17E66" w:rsidRDefault="00A17E66" w:rsidP="00A17E66">
      <w:pPr>
        <w:ind w:firstLine="357"/>
        <w:jc w:val="both"/>
        <w:rPr>
          <w:rFonts w:asciiTheme="majorHAnsi" w:hAnsiTheme="majorHAnsi" w:cstheme="majorHAnsi"/>
          <w:sz w:val="22"/>
        </w:rPr>
      </w:pPr>
      <w:r w:rsidRPr="00A17E66">
        <w:rPr>
          <w:rFonts w:asciiTheme="majorHAnsi" w:hAnsiTheme="majorHAnsi" w:cstheme="majorHAnsi"/>
          <w:sz w:val="22"/>
        </w:rPr>
        <w:t>Tiekėjas iš Pirkimo vykdytojo priima atgal bet kokias su pirkimo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w:t>
      </w:r>
      <w:r w:rsidR="00CB42B6">
        <w:rPr>
          <w:rFonts w:asciiTheme="majorHAnsi" w:hAnsiTheme="majorHAnsi" w:cstheme="majorHAnsi"/>
          <w:sz w:val="22"/>
        </w:rPr>
        <w:t>.</w:t>
      </w:r>
    </w:p>
    <w:p w14:paraId="6811CC17" w14:textId="77777777" w:rsidR="00A17E66" w:rsidRPr="00A17E66" w:rsidRDefault="00A17E66" w:rsidP="00A17E66">
      <w:pPr>
        <w:pStyle w:val="Antrats"/>
        <w:tabs>
          <w:tab w:val="left" w:pos="720"/>
        </w:tabs>
        <w:ind w:firstLine="357"/>
        <w:jc w:val="both"/>
        <w:rPr>
          <w:rFonts w:asciiTheme="majorHAnsi" w:hAnsiTheme="majorHAnsi" w:cstheme="majorHAnsi"/>
          <w:sz w:val="22"/>
          <w:szCs w:val="22"/>
          <w:lang w:val="lt-LT"/>
        </w:rPr>
      </w:pPr>
      <w:r w:rsidRPr="00A17E66">
        <w:rPr>
          <w:rFonts w:asciiTheme="majorHAnsi" w:hAnsiTheme="majorHAnsi" w:cstheme="majorHAnsi"/>
          <w:b/>
          <w:bCs/>
          <w:i/>
          <w:iCs/>
          <w:sz w:val="22"/>
          <w:szCs w:val="22"/>
          <w:lang w:val="lt-LT"/>
        </w:rPr>
        <w:lastRenderedPageBreak/>
        <w:t>Atitiktį reikalavimui įrodantys dokumentai –  techniniai dokumentai ar pakuotės</w:t>
      </w:r>
      <w:r w:rsidRPr="00A17E66">
        <w:rPr>
          <w:rFonts w:asciiTheme="majorHAnsi" w:hAnsiTheme="majorHAnsi" w:cstheme="majorHAnsi"/>
          <w:sz w:val="22"/>
          <w:szCs w:val="22"/>
          <w:lang w:val="lt-LT"/>
        </w:rPr>
        <w:t xml:space="preserve"> </w:t>
      </w:r>
      <w:r w:rsidRPr="00A17E66">
        <w:rPr>
          <w:rFonts w:asciiTheme="majorHAnsi" w:hAnsiTheme="majorHAnsi" w:cstheme="majorHAnsi"/>
          <w:b/>
          <w:bCs/>
          <w:i/>
          <w:iCs/>
          <w:sz w:val="22"/>
          <w:szCs w:val="22"/>
          <w:lang w:val="lt-LT"/>
        </w:rPr>
        <w:t>aprašymas, arba kiti lygiaverčiai įrodymai, sutartis su gaminių ir (ar) pakuočių atliekų surinkimą vykdančiu atliekų tvarkytoju, ar atliekų tvarkytoju, turinčiu teisę išrašyti gaminių ir (ar) pakuočių atliekų sutvarkymą įrodančius dokumentus arba kiti lygiaverčiai įrodymai.</w:t>
      </w:r>
    </w:p>
    <w:p w14:paraId="0DCF820D"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color w:val="000000"/>
          <w:sz w:val="22"/>
          <w:szCs w:val="22"/>
          <w:lang w:val="lt-LT"/>
        </w:rPr>
      </w:pPr>
      <w:r w:rsidRPr="00A17E66">
        <w:rPr>
          <w:rFonts w:asciiTheme="majorHAnsi" w:hAnsiTheme="majorHAnsi" w:cstheme="majorHAnsi"/>
          <w:color w:val="000000"/>
          <w:sz w:val="22"/>
          <w:szCs w:val="22"/>
          <w:lang w:val="lt-LT" w:eastAsia="lt-LT"/>
        </w:rPr>
        <w:t>Garantinis laikotarpis – ne mažiau kaip 24 mėn. (esant kitam nustatytam garantiniam laikotarpiui, garantinio laikotarpio terminas nurodamas prie konkrečios įrangos pirkimo techninės dalies).</w:t>
      </w:r>
    </w:p>
    <w:p w14:paraId="6CBCD6AE" w14:textId="77777777" w:rsidR="00A17E66" w:rsidRPr="00A17E66" w:rsidRDefault="00A17E66" w:rsidP="00A17E66">
      <w:pPr>
        <w:pStyle w:val="Antrats"/>
        <w:tabs>
          <w:tab w:val="left" w:pos="720"/>
        </w:tabs>
        <w:jc w:val="both"/>
        <w:rPr>
          <w:rFonts w:asciiTheme="majorHAnsi" w:hAnsiTheme="majorHAnsi" w:cstheme="majorHAnsi"/>
          <w:color w:val="000000"/>
          <w:sz w:val="22"/>
          <w:szCs w:val="22"/>
          <w:lang w:val="lt-LT"/>
        </w:rPr>
      </w:pPr>
      <w:r w:rsidRPr="00A17E66">
        <w:rPr>
          <w:rFonts w:asciiTheme="majorHAnsi" w:hAnsiTheme="majorHAnsi" w:cstheme="majorHAnsi"/>
          <w:color w:val="000000"/>
          <w:sz w:val="22"/>
          <w:szCs w:val="22"/>
          <w:lang w:val="lt-LT" w:eastAsia="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Tiekėjas privalo atlikti garantijos sąlygas atitinkančių gedimų (jei jie nutiko naudojant įrangą pagal paskirtį, laikantis pateiktų instrukcijų bei nurodytų eksploatavimo sąlygų) šalinimą, techninės būklės patikrinimus pagal gamintojo reikalavimus / rekomendacijas bei gedimo atveju atvykti remontuoti ne vėliau kaip per 1 (vieną) dieną nuo pranešimo apie prekės gedimą gavimo. Reikalavimai netaikomi garantijos sąlygų neatitinkančių gedimų atvejams, kai įranga sugenda dėl vartotojo kaltės.</w:t>
      </w:r>
    </w:p>
    <w:p w14:paraId="2384C6A0" w14:textId="77777777" w:rsidR="00A17E66" w:rsidRPr="00A17E66" w:rsidRDefault="00A17E66" w:rsidP="00A17E66">
      <w:pPr>
        <w:pStyle w:val="Antrats"/>
        <w:numPr>
          <w:ilvl w:val="0"/>
          <w:numId w:val="3"/>
        </w:numPr>
        <w:tabs>
          <w:tab w:val="left" w:pos="720"/>
        </w:tabs>
        <w:ind w:left="0" w:firstLine="357"/>
        <w:jc w:val="both"/>
        <w:rPr>
          <w:rFonts w:asciiTheme="majorHAnsi" w:hAnsiTheme="majorHAnsi" w:cstheme="majorHAnsi"/>
          <w:color w:val="000000"/>
          <w:sz w:val="22"/>
          <w:szCs w:val="22"/>
          <w:lang w:val="lt-LT" w:eastAsia="lt-LT"/>
        </w:rPr>
      </w:pPr>
      <w:r w:rsidRPr="00A17E66">
        <w:rPr>
          <w:rFonts w:asciiTheme="majorHAnsi" w:hAnsiTheme="majorHAnsi" w:cstheme="majorHAnsi"/>
          <w:color w:val="000000"/>
          <w:sz w:val="22"/>
          <w:szCs w:val="22"/>
          <w:lang w:val="lt-LT" w:eastAsia="lt-LT"/>
        </w:rPr>
        <w:t>Kartu su įranga pateikiama dokumentacija:</w:t>
      </w:r>
    </w:p>
    <w:p w14:paraId="37C4B3E1" w14:textId="77777777" w:rsidR="00A17E66" w:rsidRPr="00A17E66" w:rsidRDefault="00A17E66" w:rsidP="00A17E66">
      <w:pPr>
        <w:pStyle w:val="Antrats"/>
        <w:tabs>
          <w:tab w:val="left" w:pos="720"/>
        </w:tabs>
        <w:ind w:firstLine="357"/>
        <w:jc w:val="both"/>
        <w:rPr>
          <w:rFonts w:asciiTheme="majorHAnsi" w:hAnsiTheme="majorHAnsi" w:cstheme="majorHAnsi"/>
          <w:sz w:val="22"/>
          <w:szCs w:val="22"/>
          <w:lang w:val="lt-LT"/>
        </w:rPr>
      </w:pPr>
      <w:r w:rsidRPr="00A17E66">
        <w:rPr>
          <w:rFonts w:asciiTheme="majorHAnsi" w:hAnsiTheme="majorHAnsi" w:cstheme="majorHAnsi"/>
          <w:color w:val="000000"/>
          <w:sz w:val="22"/>
          <w:szCs w:val="22"/>
          <w:lang w:val="lt-LT" w:eastAsia="lt-LT"/>
        </w:rPr>
        <w:t>12.1. Naudojimo instrukcija lietuvių kalba;</w:t>
      </w:r>
    </w:p>
    <w:p w14:paraId="10358AB8" w14:textId="77777777" w:rsidR="00A17E66" w:rsidRPr="00A17E66" w:rsidRDefault="00A17E66" w:rsidP="00A17E66">
      <w:pPr>
        <w:pStyle w:val="Antrats"/>
        <w:tabs>
          <w:tab w:val="left" w:pos="720"/>
        </w:tabs>
        <w:ind w:firstLine="357"/>
        <w:jc w:val="both"/>
        <w:rPr>
          <w:rFonts w:asciiTheme="majorHAnsi" w:hAnsiTheme="majorHAnsi" w:cstheme="majorHAnsi"/>
          <w:sz w:val="22"/>
          <w:szCs w:val="22"/>
          <w:lang w:val="lt-LT"/>
        </w:rPr>
      </w:pPr>
      <w:r w:rsidRPr="00A17E66">
        <w:rPr>
          <w:rFonts w:asciiTheme="majorHAnsi" w:hAnsiTheme="majorHAnsi" w:cstheme="majorHAnsi"/>
          <w:color w:val="000000"/>
          <w:sz w:val="22"/>
          <w:szCs w:val="22"/>
          <w:lang w:val="lt-LT" w:eastAsia="lt-LT"/>
        </w:rPr>
        <w:t>12.2. Serviso dokumentacija lietuvių arba anglų kalba (jeigu taikoma);</w:t>
      </w:r>
    </w:p>
    <w:p w14:paraId="71176F5C" w14:textId="77777777" w:rsidR="00A17E66" w:rsidRPr="00A17E66" w:rsidRDefault="00A17E66" w:rsidP="00A17E66">
      <w:pPr>
        <w:pStyle w:val="Antrats"/>
        <w:tabs>
          <w:tab w:val="left" w:pos="720"/>
        </w:tabs>
        <w:ind w:firstLine="357"/>
        <w:jc w:val="both"/>
        <w:rPr>
          <w:rFonts w:asciiTheme="majorHAnsi" w:hAnsiTheme="majorHAnsi" w:cstheme="majorHAnsi"/>
          <w:sz w:val="22"/>
          <w:szCs w:val="22"/>
          <w:lang w:val="lt-LT"/>
        </w:rPr>
      </w:pPr>
      <w:r w:rsidRPr="00A17E66">
        <w:rPr>
          <w:rFonts w:asciiTheme="majorHAnsi" w:hAnsiTheme="majorHAnsi" w:cstheme="majorHAnsi"/>
          <w:color w:val="000000"/>
          <w:sz w:val="22"/>
          <w:szCs w:val="22"/>
          <w:lang w:val="lt-LT" w:eastAsia="lt-LT"/>
        </w:rPr>
        <w:t>12.3. Periodiškai atliekamų techninės priežiūros (TP) darbų sąvadas, su nuorodomis į gamintojo techninės eksploatacijos dokumentus. TP reglamente taip pat nurodoma: TP periodiškumas, darbo priemonės, dalys ir medžiagos, reikalingos TP atlikti, bei jos darbų trukmė. Jei gamintojas TP nereglamentuoja, tai vietoje reglamento Tiekėjas pateikia pažymą, jog gamintojas TP nenumato.</w:t>
      </w:r>
    </w:p>
    <w:p w14:paraId="2B18174E" w14:textId="77777777" w:rsidR="00A17E66" w:rsidRPr="00A17E66" w:rsidRDefault="00A17E66" w:rsidP="00A17E66">
      <w:pPr>
        <w:pStyle w:val="Antrats"/>
        <w:tabs>
          <w:tab w:val="left" w:pos="720"/>
        </w:tabs>
        <w:rPr>
          <w:rFonts w:asciiTheme="majorHAnsi" w:hAnsiTheme="majorHAnsi" w:cstheme="majorHAnsi"/>
          <w:color w:val="000000"/>
          <w:sz w:val="22"/>
          <w:szCs w:val="22"/>
          <w:lang w:val="lt-LT" w:eastAsia="lt-LT"/>
        </w:rPr>
      </w:pPr>
    </w:p>
    <w:p w14:paraId="5642E0FA" w14:textId="77777777" w:rsidR="00A17E66" w:rsidRPr="00A17E66" w:rsidRDefault="00A17E66" w:rsidP="00A17E66">
      <w:pPr>
        <w:pStyle w:val="Antrats"/>
        <w:tabs>
          <w:tab w:val="left" w:pos="720"/>
        </w:tabs>
        <w:jc w:val="right"/>
        <w:rPr>
          <w:rFonts w:asciiTheme="majorHAnsi" w:hAnsiTheme="majorHAnsi" w:cstheme="majorHAnsi"/>
          <w:sz w:val="22"/>
          <w:szCs w:val="22"/>
          <w:lang w:val="lt-LT"/>
        </w:rPr>
      </w:pPr>
      <w:r w:rsidRPr="00A17E66">
        <w:rPr>
          <w:rFonts w:asciiTheme="majorHAnsi" w:hAnsiTheme="majorHAnsi" w:cstheme="majorHAnsi"/>
          <w:sz w:val="22"/>
          <w:szCs w:val="22"/>
          <w:lang w:val="lt-LT"/>
        </w:rPr>
        <w:t>1 lentelė</w:t>
      </w:r>
    </w:p>
    <w:tbl>
      <w:tblPr>
        <w:tblW w:w="9923" w:type="dxa"/>
        <w:tblInd w:w="-5" w:type="dxa"/>
        <w:tblLayout w:type="fixed"/>
        <w:tblLook w:val="04A0" w:firstRow="1" w:lastRow="0" w:firstColumn="1" w:lastColumn="0" w:noHBand="0" w:noVBand="1"/>
      </w:tblPr>
      <w:tblGrid>
        <w:gridCol w:w="708"/>
        <w:gridCol w:w="3963"/>
        <w:gridCol w:w="5252"/>
      </w:tblGrid>
      <w:tr w:rsidR="00A17E66" w:rsidRPr="00A17E66" w14:paraId="781766C5" w14:textId="77777777" w:rsidTr="00A50791">
        <w:trPr>
          <w:trHeight w:val="120"/>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BDC843" w14:textId="77777777" w:rsidR="00A17E66" w:rsidRPr="00A17E66" w:rsidRDefault="00A17E66" w:rsidP="00231660">
            <w:pPr>
              <w:widowControl w:val="0"/>
              <w:jc w:val="center"/>
              <w:rPr>
                <w:rFonts w:asciiTheme="majorHAnsi" w:hAnsiTheme="majorHAnsi" w:cstheme="majorHAnsi"/>
                <w:b/>
                <w:bCs/>
                <w:sz w:val="22"/>
              </w:rPr>
            </w:pPr>
            <w:bookmarkStart w:id="1" w:name="_Hlk194915181"/>
            <w:r w:rsidRPr="00A17E66">
              <w:rPr>
                <w:rFonts w:asciiTheme="majorHAnsi" w:hAnsiTheme="majorHAnsi" w:cstheme="majorHAnsi"/>
                <w:b/>
                <w:bCs/>
                <w:sz w:val="22"/>
              </w:rPr>
              <w:t>Eil. Nr.</w:t>
            </w:r>
          </w:p>
        </w:tc>
        <w:tc>
          <w:tcPr>
            <w:tcW w:w="3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B88C54" w14:textId="77777777" w:rsidR="00A17E66" w:rsidRPr="00A17E66" w:rsidRDefault="00A17E66" w:rsidP="00231660">
            <w:pPr>
              <w:widowControl w:val="0"/>
              <w:rPr>
                <w:rFonts w:asciiTheme="majorHAnsi" w:hAnsiTheme="majorHAnsi" w:cstheme="majorHAnsi"/>
                <w:b/>
                <w:bCs/>
                <w:sz w:val="22"/>
              </w:rPr>
            </w:pPr>
            <w:r w:rsidRPr="00A17E66">
              <w:rPr>
                <w:rFonts w:asciiTheme="majorHAnsi" w:hAnsiTheme="majorHAnsi" w:cstheme="majorHAnsi"/>
                <w:b/>
                <w:bCs/>
                <w:sz w:val="22"/>
              </w:rPr>
              <w:t>Reikalaujamos techninės charakteristikos</w:t>
            </w:r>
          </w:p>
        </w:tc>
        <w:tc>
          <w:tcPr>
            <w:tcW w:w="5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EC5221" w14:textId="77777777" w:rsidR="00A17E66" w:rsidRPr="00A17E66" w:rsidRDefault="00A17E66" w:rsidP="00231660">
            <w:pPr>
              <w:widowControl w:val="0"/>
              <w:rPr>
                <w:rFonts w:asciiTheme="majorHAnsi" w:hAnsiTheme="majorHAnsi" w:cstheme="majorHAnsi"/>
                <w:b/>
                <w:bCs/>
                <w:sz w:val="22"/>
              </w:rPr>
            </w:pPr>
            <w:r w:rsidRPr="00A17E66">
              <w:rPr>
                <w:rFonts w:asciiTheme="majorHAnsi" w:hAnsiTheme="majorHAnsi" w:cstheme="majorHAnsi"/>
                <w:b/>
                <w:bCs/>
                <w:sz w:val="22"/>
              </w:rPr>
              <w:t>Parametrų reikšmė</w:t>
            </w:r>
          </w:p>
        </w:tc>
      </w:tr>
      <w:tr w:rsidR="00A17E66" w:rsidRPr="00A17E66" w14:paraId="475A6CFA"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34CE88E8"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7266F123" w14:textId="77777777" w:rsidR="00A17E66" w:rsidRPr="00A17E66" w:rsidRDefault="00A17E66" w:rsidP="00231660">
            <w:pPr>
              <w:snapToGrid w:val="0"/>
              <w:rPr>
                <w:rFonts w:asciiTheme="majorHAnsi" w:hAnsiTheme="majorHAnsi" w:cstheme="majorHAnsi"/>
                <w:kern w:val="2"/>
                <w:sz w:val="22"/>
                <w:lang w:val="pt-BR" w:eastAsia="ar-SA"/>
              </w:rPr>
            </w:pPr>
            <w:r w:rsidRPr="00A17E66">
              <w:rPr>
                <w:rFonts w:asciiTheme="majorHAnsi" w:hAnsiTheme="majorHAnsi" w:cstheme="majorHAnsi"/>
                <w:kern w:val="2"/>
                <w:sz w:val="22"/>
                <w:lang w:eastAsia="ar-SA"/>
              </w:rPr>
              <w:t>Aukštos klasės ultragarso aparatas su kardiologine funkcija</w:t>
            </w:r>
          </w:p>
        </w:tc>
        <w:tc>
          <w:tcPr>
            <w:tcW w:w="5252" w:type="dxa"/>
            <w:tcBorders>
              <w:top w:val="single" w:sz="4" w:space="0" w:color="000000"/>
              <w:left w:val="single" w:sz="4" w:space="0" w:color="000000"/>
              <w:bottom w:val="single" w:sz="4" w:space="0" w:color="000000"/>
              <w:right w:val="single" w:sz="4" w:space="0" w:color="000000"/>
            </w:tcBorders>
          </w:tcPr>
          <w:p w14:paraId="723DC924" w14:textId="77777777" w:rsidR="00A17E66" w:rsidRPr="00A17E66" w:rsidRDefault="00A17E66" w:rsidP="00231660">
            <w:pPr>
              <w:snapToGrid w:val="0"/>
              <w:rPr>
                <w:rFonts w:asciiTheme="majorHAnsi" w:hAnsiTheme="majorHAnsi" w:cstheme="majorHAnsi"/>
                <w:sz w:val="22"/>
              </w:rPr>
            </w:pPr>
            <w:r w:rsidRPr="00A17E66">
              <w:rPr>
                <w:rFonts w:asciiTheme="majorHAnsi" w:hAnsiTheme="majorHAnsi" w:cstheme="majorHAnsi"/>
                <w:kern w:val="2"/>
                <w:sz w:val="22"/>
                <w:lang w:eastAsia="ar-SA"/>
              </w:rPr>
              <w:t>Perkamas kiekis - 1 vnt.</w:t>
            </w:r>
          </w:p>
        </w:tc>
      </w:tr>
      <w:tr w:rsidR="00A17E66" w:rsidRPr="00A17E66" w14:paraId="60D864B5"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7313993F"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51EAEB57"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Modelis, gamintojas, kilmės šalis</w:t>
            </w:r>
          </w:p>
        </w:tc>
        <w:tc>
          <w:tcPr>
            <w:tcW w:w="5252" w:type="dxa"/>
            <w:tcBorders>
              <w:top w:val="single" w:sz="4" w:space="0" w:color="000000"/>
              <w:left w:val="single" w:sz="4" w:space="0" w:color="000000"/>
              <w:bottom w:val="single" w:sz="4" w:space="0" w:color="000000"/>
              <w:right w:val="single" w:sz="4" w:space="0" w:color="000000"/>
            </w:tcBorders>
          </w:tcPr>
          <w:p w14:paraId="3C534059"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Būtina nurodyti teikiant pasiūlymą</w:t>
            </w:r>
          </w:p>
        </w:tc>
      </w:tr>
      <w:tr w:rsidR="00A17E66" w:rsidRPr="00A17E66" w14:paraId="5BF09BC7"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689C4D71"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4F53D226"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Taikymo specializacija (atliekami tyrimai)</w:t>
            </w:r>
          </w:p>
        </w:tc>
        <w:tc>
          <w:tcPr>
            <w:tcW w:w="5252" w:type="dxa"/>
            <w:tcBorders>
              <w:top w:val="single" w:sz="4" w:space="0" w:color="000000"/>
              <w:left w:val="single" w:sz="4" w:space="0" w:color="000000"/>
              <w:bottom w:val="single" w:sz="4" w:space="0" w:color="000000"/>
              <w:right w:val="single" w:sz="4" w:space="0" w:color="000000"/>
            </w:tcBorders>
          </w:tcPr>
          <w:p w14:paraId="5DB1DD6F" w14:textId="77777777" w:rsidR="00A17E66" w:rsidRPr="00A17E66" w:rsidRDefault="00A17E66" w:rsidP="00A17E66">
            <w:pPr>
              <w:numPr>
                <w:ilvl w:val="0"/>
                <w:numId w:val="4"/>
              </w:numPr>
              <w:autoSpaceDN/>
              <w:spacing w:after="0" w:line="240" w:lineRule="auto"/>
              <w:ind w:left="321" w:hanging="321"/>
              <w:textAlignment w:val="auto"/>
              <w:rPr>
                <w:rFonts w:asciiTheme="majorHAnsi" w:hAnsiTheme="majorHAnsi" w:cstheme="majorHAnsi"/>
                <w:sz w:val="22"/>
              </w:rPr>
            </w:pPr>
            <w:r w:rsidRPr="00A17E66">
              <w:rPr>
                <w:rFonts w:asciiTheme="majorHAnsi" w:hAnsiTheme="majorHAnsi" w:cstheme="majorHAnsi"/>
                <w:sz w:val="22"/>
              </w:rPr>
              <w:t>Pilvo organų tyrimai;</w:t>
            </w:r>
          </w:p>
          <w:p w14:paraId="0B88DF2B" w14:textId="77777777" w:rsidR="00A17E66" w:rsidRPr="00A17E66" w:rsidRDefault="00A17E66" w:rsidP="00A17E66">
            <w:pPr>
              <w:numPr>
                <w:ilvl w:val="0"/>
                <w:numId w:val="4"/>
              </w:numPr>
              <w:autoSpaceDN/>
              <w:spacing w:after="0" w:line="240" w:lineRule="auto"/>
              <w:ind w:left="321" w:hanging="321"/>
              <w:textAlignment w:val="auto"/>
              <w:rPr>
                <w:rFonts w:asciiTheme="majorHAnsi" w:hAnsiTheme="majorHAnsi" w:cstheme="majorHAnsi"/>
                <w:sz w:val="22"/>
              </w:rPr>
            </w:pPr>
            <w:r w:rsidRPr="00A17E66">
              <w:rPr>
                <w:rFonts w:asciiTheme="majorHAnsi" w:hAnsiTheme="majorHAnsi" w:cstheme="majorHAnsi"/>
                <w:sz w:val="22"/>
              </w:rPr>
              <w:t>Smulkiųjų struktūrų tyrimai;</w:t>
            </w:r>
          </w:p>
          <w:p w14:paraId="1CE6210E" w14:textId="77777777" w:rsidR="00A17E66" w:rsidRPr="00A17E66" w:rsidRDefault="00A17E66" w:rsidP="00A17E66">
            <w:pPr>
              <w:numPr>
                <w:ilvl w:val="0"/>
                <w:numId w:val="4"/>
              </w:numPr>
              <w:autoSpaceDN/>
              <w:spacing w:after="0" w:line="240" w:lineRule="auto"/>
              <w:ind w:left="321" w:hanging="321"/>
              <w:textAlignment w:val="auto"/>
              <w:rPr>
                <w:rFonts w:asciiTheme="majorHAnsi" w:hAnsiTheme="majorHAnsi" w:cstheme="majorHAnsi"/>
                <w:sz w:val="22"/>
              </w:rPr>
            </w:pPr>
            <w:r w:rsidRPr="00A17E66">
              <w:rPr>
                <w:rFonts w:asciiTheme="majorHAnsi" w:hAnsiTheme="majorHAnsi" w:cstheme="majorHAnsi"/>
                <w:sz w:val="22"/>
              </w:rPr>
              <w:t>Širdies tyrimai;</w:t>
            </w:r>
          </w:p>
          <w:p w14:paraId="438EE4E9" w14:textId="77777777" w:rsidR="00A17E66" w:rsidRPr="00A17E66" w:rsidRDefault="00A17E66" w:rsidP="00A17E66">
            <w:pPr>
              <w:numPr>
                <w:ilvl w:val="0"/>
                <w:numId w:val="4"/>
              </w:numPr>
              <w:autoSpaceDN/>
              <w:spacing w:after="0" w:line="240" w:lineRule="auto"/>
              <w:ind w:left="321" w:hanging="321"/>
              <w:textAlignment w:val="auto"/>
              <w:rPr>
                <w:rFonts w:asciiTheme="majorHAnsi" w:hAnsiTheme="majorHAnsi" w:cstheme="majorHAnsi"/>
                <w:sz w:val="22"/>
              </w:rPr>
            </w:pPr>
            <w:r w:rsidRPr="00A17E66">
              <w:rPr>
                <w:rFonts w:asciiTheme="majorHAnsi" w:hAnsiTheme="majorHAnsi" w:cstheme="majorHAnsi"/>
                <w:sz w:val="22"/>
              </w:rPr>
              <w:t>Krūtų tyrimai;</w:t>
            </w:r>
          </w:p>
        </w:tc>
      </w:tr>
      <w:tr w:rsidR="00A17E66" w:rsidRPr="00A17E66" w14:paraId="0E3FB42C" w14:textId="77777777" w:rsidTr="00231660">
        <w:trPr>
          <w:trHeight w:val="426"/>
        </w:trPr>
        <w:tc>
          <w:tcPr>
            <w:tcW w:w="708" w:type="dxa"/>
            <w:tcBorders>
              <w:top w:val="single" w:sz="4" w:space="0" w:color="000000"/>
              <w:left w:val="single" w:sz="4" w:space="0" w:color="000000"/>
              <w:bottom w:val="single" w:sz="4" w:space="0" w:color="000000"/>
              <w:right w:val="single" w:sz="4" w:space="0" w:color="000000"/>
            </w:tcBorders>
          </w:tcPr>
          <w:p w14:paraId="38951907"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4AEE056C"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Prietaiso architektūra</w:t>
            </w:r>
          </w:p>
        </w:tc>
        <w:tc>
          <w:tcPr>
            <w:tcW w:w="5252" w:type="dxa"/>
            <w:tcBorders>
              <w:top w:val="single" w:sz="4" w:space="0" w:color="000000"/>
              <w:left w:val="single" w:sz="4" w:space="0" w:color="000000"/>
              <w:bottom w:val="single" w:sz="4" w:space="0" w:color="000000"/>
              <w:right w:val="single" w:sz="4" w:space="0" w:color="000000"/>
            </w:tcBorders>
          </w:tcPr>
          <w:p w14:paraId="2852DEF2" w14:textId="77777777" w:rsidR="00A17E66" w:rsidRPr="00A17E66" w:rsidRDefault="00A17E66" w:rsidP="00231660">
            <w:pPr>
              <w:rPr>
                <w:rFonts w:asciiTheme="majorHAnsi" w:hAnsiTheme="majorHAnsi" w:cstheme="majorHAnsi"/>
                <w:sz w:val="22"/>
                <w:lang w:val="pt-BR"/>
              </w:rPr>
            </w:pPr>
            <w:r w:rsidRPr="00A17E66">
              <w:rPr>
                <w:rFonts w:asciiTheme="majorHAnsi" w:hAnsiTheme="majorHAnsi" w:cstheme="majorHAnsi"/>
                <w:sz w:val="22"/>
                <w:lang w:val="pt-BR"/>
              </w:rPr>
              <w:t>Bendras sistemos dinaminis diapazonas ne mažesnis kaip 380 dB.</w:t>
            </w:r>
          </w:p>
        </w:tc>
      </w:tr>
      <w:tr w:rsidR="00A17E66" w:rsidRPr="00A17E66" w14:paraId="7816C983"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3CEFAFAF"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5233B326" w14:textId="77777777" w:rsidR="00A17E66" w:rsidRPr="00A17E66" w:rsidRDefault="00A17E66" w:rsidP="00231660">
            <w:pPr>
              <w:rPr>
                <w:rFonts w:asciiTheme="majorHAnsi" w:hAnsiTheme="majorHAnsi" w:cstheme="majorHAnsi"/>
                <w:kern w:val="2"/>
                <w:sz w:val="22"/>
                <w:lang w:eastAsia="ar-SA"/>
              </w:rPr>
            </w:pPr>
            <w:r w:rsidRPr="00A17E66">
              <w:rPr>
                <w:rFonts w:asciiTheme="majorHAnsi" w:hAnsiTheme="majorHAnsi" w:cstheme="majorHAnsi"/>
                <w:sz w:val="22"/>
              </w:rPr>
              <w:t>Daviklių jungtys su echoskopu</w:t>
            </w:r>
          </w:p>
        </w:tc>
        <w:tc>
          <w:tcPr>
            <w:tcW w:w="5252" w:type="dxa"/>
            <w:tcBorders>
              <w:top w:val="single" w:sz="4" w:space="0" w:color="000000"/>
              <w:left w:val="single" w:sz="4" w:space="0" w:color="000000"/>
              <w:bottom w:val="single" w:sz="4" w:space="0" w:color="000000"/>
              <w:right w:val="single" w:sz="4" w:space="0" w:color="000000"/>
            </w:tcBorders>
          </w:tcPr>
          <w:p w14:paraId="246CAC32" w14:textId="77777777" w:rsidR="00A17E66" w:rsidRPr="00A17E66" w:rsidRDefault="00A17E66" w:rsidP="00231660">
            <w:pPr>
              <w:rPr>
                <w:rFonts w:asciiTheme="majorHAnsi" w:hAnsiTheme="majorHAnsi" w:cstheme="majorHAnsi"/>
                <w:kern w:val="2"/>
                <w:sz w:val="22"/>
                <w:lang w:eastAsia="ar-SA"/>
              </w:rPr>
            </w:pPr>
            <w:r w:rsidRPr="00A17E66">
              <w:rPr>
                <w:rFonts w:asciiTheme="majorHAnsi" w:hAnsiTheme="majorHAnsi" w:cstheme="majorHAnsi"/>
                <w:sz w:val="22"/>
              </w:rPr>
              <w:t>Ne mažiau kaip 3 aktyvios jungtys</w:t>
            </w:r>
          </w:p>
        </w:tc>
      </w:tr>
      <w:tr w:rsidR="00A17E66" w:rsidRPr="00A17E66" w14:paraId="5B3C3EF5"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1D3D8E25"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5D82D61D" w14:textId="77777777" w:rsidR="00A17E66" w:rsidRPr="00A17E66" w:rsidRDefault="00A17E66" w:rsidP="00231660">
            <w:pPr>
              <w:snapToGrid w:val="0"/>
              <w:rPr>
                <w:rFonts w:asciiTheme="majorHAnsi" w:hAnsiTheme="majorHAnsi" w:cstheme="majorHAnsi"/>
                <w:sz w:val="22"/>
              </w:rPr>
            </w:pPr>
            <w:r w:rsidRPr="00A17E66">
              <w:rPr>
                <w:rFonts w:asciiTheme="majorHAnsi" w:hAnsiTheme="majorHAnsi" w:cstheme="majorHAnsi"/>
                <w:sz w:val="22"/>
              </w:rPr>
              <w:t>Prietaiso ergonomika</w:t>
            </w:r>
          </w:p>
        </w:tc>
        <w:tc>
          <w:tcPr>
            <w:tcW w:w="5252" w:type="dxa"/>
            <w:tcBorders>
              <w:top w:val="single" w:sz="4" w:space="0" w:color="000000"/>
              <w:left w:val="single" w:sz="4" w:space="0" w:color="000000"/>
              <w:bottom w:val="single" w:sz="4" w:space="0" w:color="000000"/>
              <w:right w:val="single" w:sz="4" w:space="0" w:color="000000"/>
            </w:tcBorders>
          </w:tcPr>
          <w:p w14:paraId="7F5D0AF8" w14:textId="77777777" w:rsidR="00A17E66" w:rsidRPr="00A17E66" w:rsidRDefault="00A17E66" w:rsidP="00231660">
            <w:pPr>
              <w:ind w:right="-39"/>
              <w:rPr>
                <w:rFonts w:asciiTheme="majorHAnsi" w:hAnsiTheme="majorHAnsi" w:cstheme="majorHAnsi"/>
                <w:sz w:val="22"/>
                <w:lang w:val="pt-BR"/>
              </w:rPr>
            </w:pPr>
            <w:r w:rsidRPr="00A17E66">
              <w:rPr>
                <w:rFonts w:asciiTheme="majorHAnsi" w:hAnsiTheme="majorHAnsi" w:cstheme="majorHAnsi"/>
                <w:sz w:val="22"/>
                <w:lang w:val="pt-BR"/>
              </w:rPr>
              <w:t>1. Sistema lengvai transportuojama, ant ratukų;</w:t>
            </w:r>
          </w:p>
          <w:p w14:paraId="2F7AD6A3" w14:textId="77777777" w:rsidR="00A17E66" w:rsidRPr="00A17E66" w:rsidRDefault="00A17E66" w:rsidP="00231660">
            <w:pPr>
              <w:ind w:right="-39"/>
              <w:rPr>
                <w:rFonts w:asciiTheme="majorHAnsi" w:hAnsiTheme="majorHAnsi" w:cstheme="majorHAnsi"/>
                <w:sz w:val="22"/>
                <w:lang w:val="pt-BR"/>
              </w:rPr>
            </w:pPr>
            <w:r w:rsidRPr="00A17E66">
              <w:rPr>
                <w:rFonts w:asciiTheme="majorHAnsi" w:hAnsiTheme="majorHAnsi" w:cstheme="majorHAnsi"/>
                <w:sz w:val="22"/>
                <w:lang w:val="pt-BR"/>
              </w:rPr>
              <w:t>2</w:t>
            </w:r>
            <w:r w:rsidRPr="00A17E66">
              <w:rPr>
                <w:rFonts w:asciiTheme="majorHAnsi" w:hAnsiTheme="majorHAnsi" w:cstheme="majorHAnsi"/>
                <w:sz w:val="22"/>
              </w:rPr>
              <w:t xml:space="preserve">. </w:t>
            </w:r>
            <w:r w:rsidRPr="00A17E66">
              <w:rPr>
                <w:rFonts w:asciiTheme="majorHAnsi" w:hAnsiTheme="majorHAnsi" w:cstheme="majorHAnsi"/>
                <w:sz w:val="22"/>
                <w:lang w:val="pt-BR"/>
              </w:rPr>
              <w:t>Valdymo panelė kilnojama aukštyn ir žemyn, pasukama į šonus;</w:t>
            </w:r>
          </w:p>
          <w:p w14:paraId="1688FF83" w14:textId="77777777" w:rsidR="00A17E66" w:rsidRPr="00A17E66" w:rsidRDefault="00A17E66" w:rsidP="00231660">
            <w:pPr>
              <w:ind w:right="-39"/>
              <w:rPr>
                <w:rFonts w:asciiTheme="majorHAnsi" w:hAnsiTheme="majorHAnsi" w:cstheme="majorHAnsi"/>
                <w:sz w:val="22"/>
                <w:lang w:val="pt-BR"/>
              </w:rPr>
            </w:pPr>
            <w:r w:rsidRPr="00A17E66">
              <w:rPr>
                <w:rFonts w:asciiTheme="majorHAnsi" w:hAnsiTheme="majorHAnsi" w:cstheme="majorHAnsi"/>
                <w:sz w:val="22"/>
                <w:lang w:val="pt-BR"/>
              </w:rPr>
              <w:t>3. Vaizdo monitorius kilnojamas aukštyn ir žemyn, pasukamas į šonus;</w:t>
            </w:r>
          </w:p>
          <w:p w14:paraId="20BF0555" w14:textId="77777777" w:rsidR="00A17E66" w:rsidRPr="00A17E66" w:rsidRDefault="00A17E66" w:rsidP="00231660">
            <w:pPr>
              <w:rPr>
                <w:rFonts w:asciiTheme="majorHAnsi" w:hAnsiTheme="majorHAnsi" w:cstheme="majorHAnsi"/>
                <w:sz w:val="22"/>
                <w:lang w:val="pt-BR"/>
              </w:rPr>
            </w:pPr>
            <w:r w:rsidRPr="00A17E66">
              <w:rPr>
                <w:rFonts w:asciiTheme="majorHAnsi" w:hAnsiTheme="majorHAnsi" w:cstheme="majorHAnsi"/>
                <w:sz w:val="22"/>
                <w:lang w:val="pt-BR"/>
              </w:rPr>
              <w:t>4. Valdymo panelėje integruotas liečiamas ekranas, kurio įstrižainė 1</w:t>
            </w:r>
            <w:r w:rsidRPr="00A17E66">
              <w:rPr>
                <w:rFonts w:asciiTheme="majorHAnsi" w:hAnsiTheme="majorHAnsi" w:cstheme="majorHAnsi"/>
                <w:sz w:val="22"/>
              </w:rPr>
              <w:t>4</w:t>
            </w:r>
            <w:r w:rsidRPr="00A17E66">
              <w:rPr>
                <w:rFonts w:asciiTheme="majorHAnsi" w:hAnsiTheme="majorHAnsi" w:cstheme="majorHAnsi"/>
                <w:sz w:val="22"/>
                <w:lang w:val="pt-BR"/>
              </w:rPr>
              <w:t xml:space="preserve"> colių arba didesnė;</w:t>
            </w:r>
          </w:p>
        </w:tc>
      </w:tr>
      <w:tr w:rsidR="00A17E66" w:rsidRPr="00A17E66" w14:paraId="4C970155"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314815DF"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357BCFD3" w14:textId="77777777" w:rsidR="00A17E66" w:rsidRPr="00A17E66" w:rsidRDefault="00A17E66" w:rsidP="00231660">
            <w:pPr>
              <w:snapToGrid w:val="0"/>
              <w:rPr>
                <w:rFonts w:asciiTheme="majorHAnsi" w:hAnsiTheme="majorHAnsi" w:cstheme="majorHAnsi"/>
                <w:sz w:val="22"/>
                <w:lang w:val="pt-BR"/>
              </w:rPr>
            </w:pPr>
            <w:r w:rsidRPr="00A17E66">
              <w:rPr>
                <w:rFonts w:asciiTheme="majorHAnsi" w:hAnsiTheme="majorHAnsi" w:cstheme="majorHAnsi"/>
                <w:sz w:val="22"/>
              </w:rPr>
              <w:t>Dvimačio vaizdo savybės</w:t>
            </w:r>
          </w:p>
        </w:tc>
        <w:tc>
          <w:tcPr>
            <w:tcW w:w="5252" w:type="dxa"/>
            <w:tcBorders>
              <w:top w:val="single" w:sz="4" w:space="0" w:color="000000"/>
              <w:left w:val="single" w:sz="4" w:space="0" w:color="000000"/>
              <w:bottom w:val="single" w:sz="4" w:space="0" w:color="000000"/>
              <w:right w:val="single" w:sz="4" w:space="0" w:color="000000"/>
            </w:tcBorders>
          </w:tcPr>
          <w:p w14:paraId="69E093E3" w14:textId="77777777" w:rsidR="00A17E66" w:rsidRPr="00A17E66" w:rsidRDefault="00A17E66" w:rsidP="00231660">
            <w:pPr>
              <w:contextualSpacing/>
              <w:rPr>
                <w:rFonts w:asciiTheme="majorHAnsi" w:hAnsiTheme="majorHAnsi" w:cstheme="majorHAnsi"/>
                <w:sz w:val="22"/>
                <w:lang w:val="pt-BR"/>
              </w:rPr>
            </w:pPr>
            <w:r w:rsidRPr="00A17E66">
              <w:rPr>
                <w:rFonts w:asciiTheme="majorHAnsi" w:hAnsiTheme="majorHAnsi" w:cstheme="majorHAnsi"/>
                <w:sz w:val="22"/>
                <w:lang w:val="pt-BR"/>
              </w:rPr>
              <w:t>1. Automatinė skenavimo parametrų optimizacija;</w:t>
            </w:r>
          </w:p>
          <w:p w14:paraId="67965B2E" w14:textId="77777777" w:rsidR="00A17E66" w:rsidRPr="00A17E66" w:rsidRDefault="00A17E66" w:rsidP="00231660">
            <w:pPr>
              <w:contextualSpacing/>
              <w:rPr>
                <w:rFonts w:asciiTheme="majorHAnsi" w:hAnsiTheme="majorHAnsi" w:cstheme="majorHAnsi"/>
                <w:sz w:val="22"/>
                <w:lang w:val="pt-BR"/>
              </w:rPr>
            </w:pPr>
            <w:r w:rsidRPr="00A17E66">
              <w:rPr>
                <w:rFonts w:asciiTheme="majorHAnsi" w:hAnsiTheme="majorHAnsi" w:cstheme="majorHAnsi"/>
                <w:sz w:val="22"/>
                <w:lang w:val="pt-BR"/>
              </w:rPr>
              <w:t>2. Aukštesnių harmonikų registravimas;</w:t>
            </w:r>
          </w:p>
          <w:p w14:paraId="0E34ED3F" w14:textId="77777777" w:rsidR="00A17E66" w:rsidRPr="00A17E66" w:rsidRDefault="00A17E66" w:rsidP="00231660">
            <w:pPr>
              <w:contextualSpacing/>
              <w:rPr>
                <w:rFonts w:asciiTheme="majorHAnsi" w:hAnsiTheme="majorHAnsi" w:cstheme="majorHAnsi"/>
                <w:sz w:val="22"/>
                <w:lang w:val="fi-FI"/>
              </w:rPr>
            </w:pPr>
            <w:r w:rsidRPr="00A17E66">
              <w:rPr>
                <w:rFonts w:asciiTheme="majorHAnsi" w:hAnsiTheme="majorHAnsi" w:cstheme="majorHAnsi"/>
                <w:sz w:val="22"/>
                <w:lang w:val="fi-FI"/>
              </w:rPr>
              <w:lastRenderedPageBreak/>
              <w:t>3. Maksimalus vaizduojamas gylis B režime ne mažesnis kaip 50 cm;</w:t>
            </w:r>
          </w:p>
          <w:p w14:paraId="1F7E5531" w14:textId="77777777" w:rsidR="00A17E66" w:rsidRPr="00A17E66" w:rsidRDefault="00A17E66" w:rsidP="00231660">
            <w:pPr>
              <w:rPr>
                <w:rFonts w:asciiTheme="majorHAnsi" w:hAnsiTheme="majorHAnsi" w:cstheme="majorHAnsi"/>
                <w:sz w:val="22"/>
                <w:lang w:val="pt-BR"/>
              </w:rPr>
            </w:pPr>
            <w:r w:rsidRPr="00A17E66">
              <w:rPr>
                <w:rFonts w:asciiTheme="majorHAnsi" w:hAnsiTheme="majorHAnsi" w:cstheme="majorHAnsi"/>
                <w:sz w:val="22"/>
                <w:lang w:val="pt-BR"/>
              </w:rPr>
              <w:t>4. Praplėsto lauko (trapecinio vaizdavimo) režimas.</w:t>
            </w:r>
          </w:p>
        </w:tc>
      </w:tr>
      <w:tr w:rsidR="00A17E66" w:rsidRPr="00A17E66" w14:paraId="321A4772"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581AED20"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1C07B6E6" w14:textId="77777777" w:rsidR="00A17E66" w:rsidRPr="00A17E66" w:rsidRDefault="00A17E66" w:rsidP="00231660">
            <w:pPr>
              <w:snapToGrid w:val="0"/>
              <w:rPr>
                <w:rFonts w:asciiTheme="majorHAnsi" w:hAnsiTheme="majorHAnsi" w:cstheme="majorHAnsi"/>
                <w:sz w:val="22"/>
                <w:lang w:val="pt-BR"/>
              </w:rPr>
            </w:pPr>
            <w:r w:rsidRPr="00A17E66">
              <w:rPr>
                <w:rFonts w:asciiTheme="majorHAnsi" w:hAnsiTheme="majorHAnsi" w:cstheme="majorHAnsi"/>
                <w:sz w:val="22"/>
              </w:rPr>
              <w:t>Vienmatis vaizdinimas</w:t>
            </w:r>
          </w:p>
        </w:tc>
        <w:tc>
          <w:tcPr>
            <w:tcW w:w="5252" w:type="dxa"/>
            <w:tcBorders>
              <w:top w:val="single" w:sz="4" w:space="0" w:color="000000"/>
              <w:left w:val="single" w:sz="4" w:space="0" w:color="000000"/>
              <w:bottom w:val="single" w:sz="4" w:space="0" w:color="000000"/>
              <w:right w:val="single" w:sz="4" w:space="0" w:color="000000"/>
            </w:tcBorders>
          </w:tcPr>
          <w:p w14:paraId="6F0059F6" w14:textId="77777777" w:rsidR="00A17E66" w:rsidRPr="00A17E66" w:rsidRDefault="00A17E66" w:rsidP="00231660">
            <w:pPr>
              <w:pBdr>
                <w:top w:val="nil"/>
                <w:left w:val="nil"/>
                <w:bottom w:val="nil"/>
                <w:right w:val="nil"/>
                <w:between w:val="nil"/>
                <w:bar w:val="nil"/>
              </w:pBdr>
              <w:tabs>
                <w:tab w:val="left" w:pos="432"/>
              </w:tabs>
              <w:rPr>
                <w:rFonts w:asciiTheme="majorHAnsi" w:hAnsiTheme="majorHAnsi" w:cstheme="majorHAnsi"/>
                <w:sz w:val="22"/>
                <w:lang w:val="pt-BR" w:eastAsia="ar-SA"/>
              </w:rPr>
            </w:pPr>
            <w:r w:rsidRPr="00A17E66">
              <w:rPr>
                <w:rFonts w:asciiTheme="majorHAnsi" w:hAnsiTheme="majorHAnsi" w:cstheme="majorHAnsi"/>
                <w:sz w:val="22"/>
                <w:lang w:val="pt-BR" w:eastAsia="ar-SA"/>
              </w:rPr>
              <w:t>1. Audinių (pilkų spalvų skalėje);</w:t>
            </w:r>
          </w:p>
          <w:p w14:paraId="7B882C59" w14:textId="77777777" w:rsidR="00A17E66" w:rsidRPr="00A17E66" w:rsidRDefault="00A17E66" w:rsidP="00231660">
            <w:pPr>
              <w:rPr>
                <w:rFonts w:asciiTheme="majorHAnsi" w:hAnsiTheme="majorHAnsi" w:cstheme="majorHAnsi"/>
                <w:sz w:val="22"/>
                <w:lang w:val="pt-BR"/>
              </w:rPr>
            </w:pPr>
            <w:r w:rsidRPr="00A17E66">
              <w:rPr>
                <w:rFonts w:asciiTheme="majorHAnsi" w:hAnsiTheme="majorHAnsi" w:cstheme="majorHAnsi"/>
                <w:sz w:val="22"/>
                <w:lang w:val="pt-BR" w:eastAsia="ar-SA"/>
              </w:rPr>
              <w:t>2. Anatominis (laisvos ašies) vienmatis vaizdinimas.</w:t>
            </w:r>
          </w:p>
        </w:tc>
      </w:tr>
      <w:tr w:rsidR="00A17E66" w:rsidRPr="00A17E66" w14:paraId="3AF69D23"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3533B6A8"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1BF3277F"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Kraujotakos režimai</w:t>
            </w:r>
          </w:p>
        </w:tc>
        <w:tc>
          <w:tcPr>
            <w:tcW w:w="5252" w:type="dxa"/>
            <w:tcBorders>
              <w:top w:val="single" w:sz="4" w:space="0" w:color="000000"/>
              <w:left w:val="single" w:sz="4" w:space="0" w:color="000000"/>
              <w:bottom w:val="single" w:sz="4" w:space="0" w:color="000000"/>
              <w:right w:val="single" w:sz="4" w:space="0" w:color="000000"/>
            </w:tcBorders>
          </w:tcPr>
          <w:p w14:paraId="5A3EEC28" w14:textId="77777777" w:rsidR="00A17E66" w:rsidRPr="00A17E66" w:rsidRDefault="00A17E66" w:rsidP="00231660">
            <w:pPr>
              <w:rPr>
                <w:rFonts w:asciiTheme="majorHAnsi" w:hAnsiTheme="majorHAnsi" w:cstheme="majorHAnsi"/>
                <w:sz w:val="22"/>
                <w:lang w:val="pt-BR"/>
              </w:rPr>
            </w:pPr>
          </w:p>
        </w:tc>
      </w:tr>
      <w:tr w:rsidR="00A17E66" w:rsidRPr="00A17E66" w14:paraId="1266A2B0"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21F7230E" w14:textId="77777777" w:rsidR="00A17E66" w:rsidRPr="00A17E66" w:rsidRDefault="00A17E66" w:rsidP="00231660">
            <w:pPr>
              <w:snapToGrid w:val="0"/>
              <w:rPr>
                <w:rFonts w:asciiTheme="majorHAnsi" w:hAnsiTheme="majorHAnsi" w:cstheme="majorHAnsi"/>
                <w:bCs/>
                <w:iCs/>
                <w:kern w:val="2"/>
                <w:sz w:val="22"/>
                <w:lang w:eastAsia="ar-SA"/>
              </w:rPr>
            </w:pPr>
            <w:r w:rsidRPr="00A17E66">
              <w:rPr>
                <w:rFonts w:asciiTheme="majorHAnsi" w:hAnsiTheme="majorHAnsi" w:cstheme="majorHAnsi"/>
                <w:bCs/>
                <w:iCs/>
                <w:kern w:val="2"/>
                <w:sz w:val="22"/>
                <w:lang w:eastAsia="ar-SA"/>
              </w:rPr>
              <w:t>9.1.</w:t>
            </w:r>
          </w:p>
        </w:tc>
        <w:tc>
          <w:tcPr>
            <w:tcW w:w="3963" w:type="dxa"/>
            <w:tcBorders>
              <w:top w:val="single" w:sz="4" w:space="0" w:color="000000"/>
              <w:left w:val="single" w:sz="4" w:space="0" w:color="000000"/>
              <w:bottom w:val="single" w:sz="4" w:space="0" w:color="000000"/>
              <w:right w:val="single" w:sz="4" w:space="0" w:color="000000"/>
            </w:tcBorders>
          </w:tcPr>
          <w:p w14:paraId="210893AC" w14:textId="77777777" w:rsidR="00A17E66" w:rsidRPr="00A17E66" w:rsidRDefault="00A17E66" w:rsidP="00231660">
            <w:pPr>
              <w:snapToGrid w:val="0"/>
              <w:rPr>
                <w:rFonts w:asciiTheme="majorHAnsi" w:hAnsiTheme="majorHAnsi" w:cstheme="majorHAnsi"/>
                <w:sz w:val="22"/>
              </w:rPr>
            </w:pPr>
            <w:r w:rsidRPr="00A17E66">
              <w:rPr>
                <w:rFonts w:asciiTheme="majorHAnsi" w:hAnsiTheme="majorHAnsi" w:cstheme="majorHAnsi"/>
                <w:sz w:val="22"/>
              </w:rPr>
              <w:t xml:space="preserve">Spektrinės </w:t>
            </w:r>
            <w:proofErr w:type="spellStart"/>
            <w:r w:rsidRPr="00A17E66">
              <w:rPr>
                <w:rFonts w:asciiTheme="majorHAnsi" w:hAnsiTheme="majorHAnsi" w:cstheme="majorHAnsi"/>
                <w:sz w:val="22"/>
              </w:rPr>
              <w:t>doplerografijos</w:t>
            </w:r>
            <w:proofErr w:type="spellEnd"/>
            <w:r w:rsidRPr="00A17E66">
              <w:rPr>
                <w:rFonts w:asciiTheme="majorHAnsi" w:hAnsiTheme="majorHAnsi" w:cstheme="majorHAnsi"/>
                <w:sz w:val="22"/>
              </w:rPr>
              <w:t xml:space="preserve"> režimai ir savybės</w:t>
            </w:r>
          </w:p>
        </w:tc>
        <w:tc>
          <w:tcPr>
            <w:tcW w:w="5252" w:type="dxa"/>
            <w:tcBorders>
              <w:top w:val="single" w:sz="4" w:space="0" w:color="000000"/>
              <w:left w:val="single" w:sz="4" w:space="0" w:color="000000"/>
              <w:bottom w:val="single" w:sz="4" w:space="0" w:color="000000"/>
              <w:right w:val="single" w:sz="4" w:space="0" w:color="000000"/>
            </w:tcBorders>
          </w:tcPr>
          <w:p w14:paraId="6116012D" w14:textId="77777777" w:rsidR="00A17E66" w:rsidRPr="00A17E66" w:rsidRDefault="00A17E66" w:rsidP="00231660">
            <w:pPr>
              <w:snapToGrid w:val="0"/>
              <w:contextualSpacing/>
              <w:rPr>
                <w:rFonts w:asciiTheme="majorHAnsi" w:hAnsiTheme="majorHAnsi" w:cstheme="majorHAnsi"/>
                <w:sz w:val="22"/>
              </w:rPr>
            </w:pPr>
            <w:r w:rsidRPr="00A17E66">
              <w:rPr>
                <w:rFonts w:asciiTheme="majorHAnsi" w:hAnsiTheme="majorHAnsi" w:cstheme="majorHAnsi"/>
                <w:sz w:val="22"/>
              </w:rPr>
              <w:t xml:space="preserve">1. PW (pulsinis </w:t>
            </w:r>
            <w:proofErr w:type="spellStart"/>
            <w:r w:rsidRPr="00A17E66">
              <w:rPr>
                <w:rFonts w:asciiTheme="majorHAnsi" w:hAnsiTheme="majorHAnsi" w:cstheme="majorHAnsi"/>
                <w:sz w:val="22"/>
              </w:rPr>
              <w:t>dopleris</w:t>
            </w:r>
            <w:proofErr w:type="spellEnd"/>
            <w:r w:rsidRPr="00A17E66">
              <w:rPr>
                <w:rFonts w:asciiTheme="majorHAnsi" w:hAnsiTheme="majorHAnsi" w:cstheme="majorHAnsi"/>
                <w:sz w:val="22"/>
              </w:rPr>
              <w:t>);</w:t>
            </w:r>
          </w:p>
          <w:p w14:paraId="2438176E" w14:textId="77777777" w:rsidR="00A17E66" w:rsidRPr="00A17E66" w:rsidRDefault="00A17E66" w:rsidP="00231660">
            <w:pPr>
              <w:snapToGrid w:val="0"/>
              <w:contextualSpacing/>
              <w:rPr>
                <w:rFonts w:asciiTheme="majorHAnsi" w:hAnsiTheme="majorHAnsi" w:cstheme="majorHAnsi"/>
                <w:sz w:val="22"/>
              </w:rPr>
            </w:pPr>
            <w:r w:rsidRPr="00A17E66">
              <w:rPr>
                <w:rFonts w:asciiTheme="majorHAnsi" w:hAnsiTheme="majorHAnsi" w:cstheme="majorHAnsi"/>
                <w:sz w:val="22"/>
              </w:rPr>
              <w:t xml:space="preserve">2. HPRF (didelio impulsų pakartojimo dažnio </w:t>
            </w:r>
            <w:proofErr w:type="spellStart"/>
            <w:r w:rsidRPr="00A17E66">
              <w:rPr>
                <w:rFonts w:asciiTheme="majorHAnsi" w:hAnsiTheme="majorHAnsi" w:cstheme="majorHAnsi"/>
                <w:sz w:val="22"/>
              </w:rPr>
              <w:t>dopleris</w:t>
            </w:r>
            <w:proofErr w:type="spellEnd"/>
            <w:r w:rsidRPr="00A17E66">
              <w:rPr>
                <w:rFonts w:asciiTheme="majorHAnsi" w:hAnsiTheme="majorHAnsi" w:cstheme="majorHAnsi"/>
                <w:sz w:val="22"/>
              </w:rPr>
              <w:t>);</w:t>
            </w:r>
          </w:p>
          <w:p w14:paraId="16E7A903" w14:textId="77777777" w:rsidR="00A17E66" w:rsidRPr="00A17E66" w:rsidRDefault="00A17E66" w:rsidP="00231660">
            <w:pPr>
              <w:snapToGrid w:val="0"/>
              <w:contextualSpacing/>
              <w:rPr>
                <w:rFonts w:asciiTheme="majorHAnsi" w:hAnsiTheme="majorHAnsi" w:cstheme="majorHAnsi"/>
                <w:sz w:val="22"/>
              </w:rPr>
            </w:pPr>
            <w:r w:rsidRPr="00A17E66">
              <w:rPr>
                <w:rFonts w:asciiTheme="majorHAnsi" w:hAnsiTheme="majorHAnsi" w:cstheme="majorHAnsi"/>
                <w:sz w:val="22"/>
              </w:rPr>
              <w:t xml:space="preserve">3. CW (nuolatinės bangos </w:t>
            </w:r>
            <w:proofErr w:type="spellStart"/>
            <w:r w:rsidRPr="00A17E66">
              <w:rPr>
                <w:rFonts w:asciiTheme="majorHAnsi" w:hAnsiTheme="majorHAnsi" w:cstheme="majorHAnsi"/>
                <w:sz w:val="22"/>
              </w:rPr>
              <w:t>dopleris</w:t>
            </w:r>
            <w:proofErr w:type="spellEnd"/>
            <w:r w:rsidRPr="00A17E66">
              <w:rPr>
                <w:rFonts w:asciiTheme="majorHAnsi" w:hAnsiTheme="majorHAnsi" w:cstheme="majorHAnsi"/>
                <w:sz w:val="22"/>
              </w:rPr>
              <w:t>);</w:t>
            </w:r>
          </w:p>
          <w:p w14:paraId="504B8798"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4. Spektrinė (</w:t>
            </w:r>
            <w:r w:rsidRPr="00A17E66">
              <w:rPr>
                <w:rFonts w:asciiTheme="majorHAnsi" w:hAnsiTheme="majorHAnsi" w:cstheme="majorHAnsi"/>
                <w:i/>
                <w:sz w:val="22"/>
              </w:rPr>
              <w:t>PW</w:t>
            </w:r>
            <w:r w:rsidRPr="00A17E66">
              <w:rPr>
                <w:rFonts w:asciiTheme="majorHAnsi" w:hAnsiTheme="majorHAnsi" w:cstheme="majorHAnsi"/>
                <w:sz w:val="22"/>
              </w:rPr>
              <w:t xml:space="preserve">) audinių </w:t>
            </w:r>
            <w:proofErr w:type="spellStart"/>
            <w:r w:rsidRPr="00A17E66">
              <w:rPr>
                <w:rFonts w:asciiTheme="majorHAnsi" w:hAnsiTheme="majorHAnsi" w:cstheme="majorHAnsi"/>
                <w:sz w:val="22"/>
              </w:rPr>
              <w:t>doplerografija</w:t>
            </w:r>
            <w:proofErr w:type="spellEnd"/>
            <w:r w:rsidRPr="00A17E66">
              <w:rPr>
                <w:rFonts w:asciiTheme="majorHAnsi" w:hAnsiTheme="majorHAnsi" w:cstheme="majorHAnsi"/>
                <w:sz w:val="22"/>
              </w:rPr>
              <w:t>;</w:t>
            </w:r>
          </w:p>
          <w:p w14:paraId="7C9DB233" w14:textId="77777777" w:rsidR="00A17E66" w:rsidRPr="00A17E66" w:rsidRDefault="00A17E66" w:rsidP="00231660">
            <w:pPr>
              <w:ind w:right="-108"/>
              <w:contextualSpacing/>
              <w:rPr>
                <w:rFonts w:asciiTheme="majorHAnsi" w:hAnsiTheme="majorHAnsi" w:cstheme="majorHAnsi"/>
                <w:sz w:val="22"/>
              </w:rPr>
            </w:pPr>
            <w:r w:rsidRPr="00A17E66">
              <w:rPr>
                <w:rFonts w:asciiTheme="majorHAnsi" w:hAnsiTheme="majorHAnsi" w:cstheme="majorHAnsi"/>
                <w:sz w:val="22"/>
              </w:rPr>
              <w:t xml:space="preserve">5. </w:t>
            </w:r>
            <w:proofErr w:type="spellStart"/>
            <w:r w:rsidRPr="00A17E66">
              <w:rPr>
                <w:rFonts w:asciiTheme="majorHAnsi" w:hAnsiTheme="majorHAnsi" w:cstheme="majorHAnsi"/>
                <w:sz w:val="22"/>
              </w:rPr>
              <w:t>Dupleksinis</w:t>
            </w:r>
            <w:proofErr w:type="spellEnd"/>
            <w:r w:rsidRPr="00A17E66">
              <w:rPr>
                <w:rFonts w:asciiTheme="majorHAnsi" w:hAnsiTheme="majorHAnsi" w:cstheme="majorHAnsi"/>
                <w:sz w:val="22"/>
              </w:rPr>
              <w:t xml:space="preserve"> vaizdinimas realiame laike;</w:t>
            </w:r>
          </w:p>
          <w:p w14:paraId="48CA4284"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6. Automatinė skenavimo parametrų optimizacija.</w:t>
            </w:r>
          </w:p>
        </w:tc>
      </w:tr>
      <w:tr w:rsidR="00A17E66" w:rsidRPr="00A17E66" w14:paraId="56D728E0"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067C0086" w14:textId="77777777" w:rsidR="00A17E66" w:rsidRPr="00A17E66" w:rsidRDefault="00A17E66" w:rsidP="00231660">
            <w:pPr>
              <w:snapToGrid w:val="0"/>
              <w:rPr>
                <w:rFonts w:asciiTheme="majorHAnsi" w:hAnsiTheme="majorHAnsi" w:cstheme="majorHAnsi"/>
                <w:bCs/>
                <w:iCs/>
                <w:kern w:val="2"/>
                <w:sz w:val="22"/>
                <w:lang w:eastAsia="ar-SA"/>
              </w:rPr>
            </w:pPr>
            <w:r w:rsidRPr="00A17E66">
              <w:rPr>
                <w:rFonts w:asciiTheme="majorHAnsi" w:hAnsiTheme="majorHAnsi" w:cstheme="majorHAnsi"/>
                <w:bCs/>
                <w:iCs/>
                <w:kern w:val="2"/>
                <w:sz w:val="22"/>
                <w:lang w:eastAsia="ar-SA"/>
              </w:rPr>
              <w:t>9.2.</w:t>
            </w:r>
          </w:p>
        </w:tc>
        <w:tc>
          <w:tcPr>
            <w:tcW w:w="3963" w:type="dxa"/>
            <w:tcBorders>
              <w:top w:val="single" w:sz="4" w:space="0" w:color="000000"/>
              <w:left w:val="single" w:sz="4" w:space="0" w:color="000000"/>
              <w:bottom w:val="single" w:sz="4" w:space="0" w:color="000000"/>
              <w:right w:val="single" w:sz="4" w:space="0" w:color="000000"/>
            </w:tcBorders>
          </w:tcPr>
          <w:p w14:paraId="5E2CCC33" w14:textId="77777777" w:rsidR="00A17E66" w:rsidRPr="00A17E66" w:rsidRDefault="00A17E66" w:rsidP="00231660">
            <w:pPr>
              <w:snapToGrid w:val="0"/>
              <w:rPr>
                <w:rFonts w:asciiTheme="majorHAnsi" w:hAnsiTheme="majorHAnsi" w:cstheme="majorHAnsi"/>
                <w:sz w:val="22"/>
              </w:rPr>
            </w:pPr>
            <w:r w:rsidRPr="00A17E66">
              <w:rPr>
                <w:rFonts w:asciiTheme="majorHAnsi" w:hAnsiTheme="majorHAnsi" w:cstheme="majorHAnsi"/>
                <w:sz w:val="22"/>
              </w:rPr>
              <w:t xml:space="preserve">Spalvinės </w:t>
            </w:r>
            <w:proofErr w:type="spellStart"/>
            <w:r w:rsidRPr="00A17E66">
              <w:rPr>
                <w:rFonts w:asciiTheme="majorHAnsi" w:hAnsiTheme="majorHAnsi" w:cstheme="majorHAnsi"/>
                <w:sz w:val="22"/>
              </w:rPr>
              <w:t>doplerografijos</w:t>
            </w:r>
            <w:proofErr w:type="spellEnd"/>
            <w:r w:rsidRPr="00A17E66">
              <w:rPr>
                <w:rFonts w:asciiTheme="majorHAnsi" w:hAnsiTheme="majorHAnsi" w:cstheme="majorHAnsi"/>
                <w:sz w:val="22"/>
              </w:rPr>
              <w:t xml:space="preserve"> režimai ir savybės</w:t>
            </w:r>
          </w:p>
        </w:tc>
        <w:tc>
          <w:tcPr>
            <w:tcW w:w="5252" w:type="dxa"/>
            <w:tcBorders>
              <w:top w:val="single" w:sz="4" w:space="0" w:color="000000"/>
              <w:left w:val="single" w:sz="4" w:space="0" w:color="000000"/>
              <w:bottom w:val="single" w:sz="4" w:space="0" w:color="000000"/>
              <w:right w:val="single" w:sz="4" w:space="0" w:color="000000"/>
            </w:tcBorders>
          </w:tcPr>
          <w:p w14:paraId="77A2B137" w14:textId="77777777" w:rsidR="00A17E66" w:rsidRPr="00A17E66" w:rsidRDefault="00A17E66" w:rsidP="00231660">
            <w:pPr>
              <w:snapToGrid w:val="0"/>
              <w:contextualSpacing/>
              <w:rPr>
                <w:rFonts w:asciiTheme="majorHAnsi" w:hAnsiTheme="majorHAnsi" w:cstheme="majorHAnsi"/>
                <w:sz w:val="22"/>
              </w:rPr>
            </w:pPr>
            <w:r w:rsidRPr="00A17E66">
              <w:rPr>
                <w:rFonts w:asciiTheme="majorHAnsi" w:hAnsiTheme="majorHAnsi" w:cstheme="majorHAnsi"/>
                <w:sz w:val="22"/>
              </w:rPr>
              <w:t xml:space="preserve">1. Spalvinė tėkmės greičio </w:t>
            </w:r>
            <w:proofErr w:type="spellStart"/>
            <w:r w:rsidRPr="00A17E66">
              <w:rPr>
                <w:rFonts w:asciiTheme="majorHAnsi" w:hAnsiTheme="majorHAnsi" w:cstheme="majorHAnsi"/>
                <w:sz w:val="22"/>
              </w:rPr>
              <w:t>doplerografija</w:t>
            </w:r>
            <w:proofErr w:type="spellEnd"/>
            <w:r w:rsidRPr="00A17E66">
              <w:rPr>
                <w:rFonts w:asciiTheme="majorHAnsi" w:hAnsiTheme="majorHAnsi" w:cstheme="majorHAnsi"/>
                <w:sz w:val="22"/>
              </w:rPr>
              <w:t>;</w:t>
            </w:r>
          </w:p>
          <w:p w14:paraId="37759260" w14:textId="77777777" w:rsidR="00A17E66" w:rsidRPr="00A17E66" w:rsidRDefault="00A17E66" w:rsidP="00231660">
            <w:pPr>
              <w:snapToGrid w:val="0"/>
              <w:contextualSpacing/>
              <w:rPr>
                <w:rFonts w:asciiTheme="majorHAnsi" w:hAnsiTheme="majorHAnsi" w:cstheme="majorHAnsi"/>
                <w:color w:val="000000"/>
                <w:sz w:val="22"/>
              </w:rPr>
            </w:pPr>
            <w:r w:rsidRPr="00A17E66">
              <w:rPr>
                <w:rFonts w:asciiTheme="majorHAnsi" w:hAnsiTheme="majorHAnsi" w:cstheme="majorHAnsi"/>
                <w:sz w:val="22"/>
              </w:rPr>
              <w:t xml:space="preserve">2. Spalvinė tėkmės galios </w:t>
            </w:r>
            <w:proofErr w:type="spellStart"/>
            <w:r w:rsidRPr="00A17E66">
              <w:rPr>
                <w:rFonts w:asciiTheme="majorHAnsi" w:hAnsiTheme="majorHAnsi" w:cstheme="majorHAnsi"/>
                <w:sz w:val="22"/>
              </w:rPr>
              <w:t>doplerografija</w:t>
            </w:r>
            <w:proofErr w:type="spellEnd"/>
            <w:r w:rsidRPr="00A17E66">
              <w:rPr>
                <w:rFonts w:asciiTheme="majorHAnsi" w:hAnsiTheme="majorHAnsi" w:cstheme="majorHAnsi"/>
                <w:sz w:val="22"/>
              </w:rPr>
              <w:t>;</w:t>
            </w:r>
          </w:p>
          <w:p w14:paraId="347D4F68" w14:textId="77777777" w:rsidR="00A17E66" w:rsidRPr="00A17E66" w:rsidRDefault="00A17E66" w:rsidP="00231660">
            <w:pPr>
              <w:snapToGrid w:val="0"/>
              <w:contextualSpacing/>
              <w:rPr>
                <w:rFonts w:asciiTheme="majorHAnsi" w:hAnsiTheme="majorHAnsi" w:cstheme="majorHAnsi"/>
                <w:sz w:val="22"/>
              </w:rPr>
            </w:pPr>
            <w:r w:rsidRPr="00A17E66">
              <w:rPr>
                <w:rFonts w:asciiTheme="majorHAnsi" w:hAnsiTheme="majorHAnsi" w:cstheme="majorHAnsi"/>
                <w:sz w:val="22"/>
              </w:rPr>
              <w:t xml:space="preserve">3. </w:t>
            </w:r>
            <w:proofErr w:type="spellStart"/>
            <w:r w:rsidRPr="00A17E66">
              <w:rPr>
                <w:rFonts w:asciiTheme="majorHAnsi" w:hAnsiTheme="majorHAnsi" w:cstheme="majorHAnsi"/>
                <w:sz w:val="22"/>
              </w:rPr>
              <w:t>Tripleksinis</w:t>
            </w:r>
            <w:proofErr w:type="spellEnd"/>
            <w:r w:rsidRPr="00A17E66">
              <w:rPr>
                <w:rFonts w:asciiTheme="majorHAnsi" w:hAnsiTheme="majorHAnsi" w:cstheme="majorHAnsi"/>
                <w:sz w:val="22"/>
              </w:rPr>
              <w:t xml:space="preserve"> vaizdavimas realiame laike, veikiantis su PW režimu;</w:t>
            </w:r>
          </w:p>
          <w:p w14:paraId="465C1D27"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 xml:space="preserve">4. Spalvinė audinių </w:t>
            </w:r>
            <w:proofErr w:type="spellStart"/>
            <w:r w:rsidRPr="00A17E66">
              <w:rPr>
                <w:rFonts w:asciiTheme="majorHAnsi" w:hAnsiTheme="majorHAnsi" w:cstheme="majorHAnsi"/>
                <w:sz w:val="22"/>
              </w:rPr>
              <w:t>doplerografija</w:t>
            </w:r>
            <w:proofErr w:type="spellEnd"/>
            <w:r w:rsidRPr="00A17E66">
              <w:rPr>
                <w:rFonts w:asciiTheme="majorHAnsi" w:hAnsiTheme="majorHAnsi" w:cstheme="majorHAnsi"/>
                <w:sz w:val="22"/>
              </w:rPr>
              <w:t xml:space="preserve"> spalvų skalėse koduojanti audinių judėjimo greitį.</w:t>
            </w:r>
          </w:p>
        </w:tc>
      </w:tr>
      <w:tr w:rsidR="00A17E66" w:rsidRPr="00A17E66" w14:paraId="6D35C60F"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1747ECB3"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3D5041E7"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Vaizdų išsaugojimas</w:t>
            </w:r>
          </w:p>
        </w:tc>
        <w:tc>
          <w:tcPr>
            <w:tcW w:w="5252" w:type="dxa"/>
            <w:tcBorders>
              <w:top w:val="single" w:sz="4" w:space="0" w:color="000000"/>
              <w:left w:val="single" w:sz="4" w:space="0" w:color="000000"/>
              <w:bottom w:val="single" w:sz="4" w:space="0" w:color="000000"/>
              <w:right w:val="single" w:sz="4" w:space="0" w:color="000000"/>
            </w:tcBorders>
          </w:tcPr>
          <w:p w14:paraId="4AFD2192" w14:textId="77777777" w:rsidR="00A17E66" w:rsidRPr="00A17E66" w:rsidRDefault="00A17E66" w:rsidP="00231660">
            <w:pPr>
              <w:jc w:val="both"/>
              <w:rPr>
                <w:rFonts w:asciiTheme="majorHAnsi" w:hAnsiTheme="majorHAnsi" w:cstheme="majorHAnsi"/>
                <w:sz w:val="22"/>
              </w:rPr>
            </w:pPr>
            <w:r w:rsidRPr="00A17E66">
              <w:rPr>
                <w:rFonts w:asciiTheme="majorHAnsi" w:hAnsiTheme="majorHAnsi" w:cstheme="majorHAnsi"/>
                <w:sz w:val="22"/>
              </w:rPr>
              <w:t>1. Statinių ir dinaminių vaizdų archyvavimas vidinėje prietaiso atmintyje, išsaugant visą pradinę informaciją apie signalą;</w:t>
            </w:r>
          </w:p>
          <w:p w14:paraId="6BFDB208" w14:textId="77777777" w:rsidR="00A17E66" w:rsidRPr="00A17E66" w:rsidRDefault="00A17E66" w:rsidP="00231660">
            <w:pPr>
              <w:jc w:val="both"/>
              <w:rPr>
                <w:rFonts w:asciiTheme="majorHAnsi" w:hAnsiTheme="majorHAnsi" w:cstheme="majorHAnsi"/>
                <w:sz w:val="22"/>
              </w:rPr>
            </w:pPr>
            <w:r w:rsidRPr="00A17E66">
              <w:rPr>
                <w:rFonts w:asciiTheme="majorHAnsi" w:hAnsiTheme="majorHAnsi" w:cstheme="majorHAnsi"/>
                <w:sz w:val="22"/>
              </w:rPr>
              <w:t xml:space="preserve">2. Statinių vaizdų konvertavimo galimybė į BMP arba JPEG arba lygiaverčius formatus, </w:t>
            </w:r>
          </w:p>
          <w:p w14:paraId="7EA3CE7E"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3. Vaizdų išsaugojimo USB jungtimi prijungiamose išorinėse laikmenose galimybė.</w:t>
            </w:r>
          </w:p>
        </w:tc>
      </w:tr>
      <w:tr w:rsidR="00A17E66" w:rsidRPr="00A17E66" w14:paraId="2225FB44"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42FC2B41"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5F14358D" w14:textId="77777777" w:rsidR="00A17E66" w:rsidRPr="00A17E66" w:rsidRDefault="00A17E66" w:rsidP="00231660">
            <w:pPr>
              <w:snapToGrid w:val="0"/>
              <w:rPr>
                <w:rFonts w:asciiTheme="majorHAnsi" w:hAnsiTheme="majorHAnsi" w:cstheme="majorHAnsi"/>
                <w:sz w:val="22"/>
              </w:rPr>
            </w:pPr>
            <w:r w:rsidRPr="00A17E66">
              <w:rPr>
                <w:rFonts w:asciiTheme="majorHAnsi" w:hAnsiTheme="majorHAnsi" w:cstheme="majorHAnsi"/>
                <w:sz w:val="22"/>
              </w:rPr>
              <w:t>Komplektuojami davikliai</w:t>
            </w:r>
          </w:p>
        </w:tc>
        <w:tc>
          <w:tcPr>
            <w:tcW w:w="5252" w:type="dxa"/>
            <w:tcBorders>
              <w:top w:val="single" w:sz="4" w:space="0" w:color="000000"/>
              <w:left w:val="single" w:sz="4" w:space="0" w:color="000000"/>
              <w:bottom w:val="single" w:sz="4" w:space="0" w:color="000000"/>
              <w:right w:val="single" w:sz="4" w:space="0" w:color="000000"/>
            </w:tcBorders>
          </w:tcPr>
          <w:p w14:paraId="2557535E" w14:textId="77777777" w:rsidR="00A17E66" w:rsidRPr="00A17E66" w:rsidRDefault="00A17E66" w:rsidP="00231660">
            <w:pPr>
              <w:ind w:left="360"/>
              <w:rPr>
                <w:rFonts w:asciiTheme="majorHAnsi" w:hAnsiTheme="majorHAnsi" w:cstheme="majorHAnsi"/>
                <w:sz w:val="22"/>
              </w:rPr>
            </w:pPr>
          </w:p>
        </w:tc>
      </w:tr>
      <w:tr w:rsidR="00A17E66" w:rsidRPr="00A17E66" w14:paraId="2CB01596" w14:textId="77777777" w:rsidTr="00231660">
        <w:trPr>
          <w:trHeight w:val="143"/>
        </w:trPr>
        <w:tc>
          <w:tcPr>
            <w:tcW w:w="708" w:type="dxa"/>
            <w:tcBorders>
              <w:top w:val="single" w:sz="4" w:space="0" w:color="000000"/>
              <w:left w:val="single" w:sz="4" w:space="0" w:color="000000"/>
              <w:bottom w:val="single" w:sz="4" w:space="0" w:color="000000"/>
              <w:right w:val="single" w:sz="4" w:space="0" w:color="000000"/>
            </w:tcBorders>
          </w:tcPr>
          <w:p w14:paraId="2625296F" w14:textId="77777777" w:rsidR="00A17E66" w:rsidRPr="00A17E66" w:rsidRDefault="00A17E66" w:rsidP="00231660">
            <w:pPr>
              <w:snapToGrid w:val="0"/>
              <w:rPr>
                <w:rFonts w:asciiTheme="majorHAnsi" w:hAnsiTheme="majorHAnsi" w:cstheme="majorHAnsi"/>
                <w:bCs/>
                <w:iCs/>
                <w:kern w:val="2"/>
                <w:sz w:val="22"/>
                <w:lang w:eastAsia="ar-SA"/>
              </w:rPr>
            </w:pPr>
            <w:r w:rsidRPr="00A17E66">
              <w:rPr>
                <w:rFonts w:asciiTheme="majorHAnsi" w:hAnsiTheme="majorHAnsi" w:cstheme="majorHAnsi"/>
                <w:bCs/>
                <w:iCs/>
                <w:kern w:val="2"/>
                <w:sz w:val="22"/>
                <w:lang w:eastAsia="ar-SA"/>
              </w:rPr>
              <w:t>11.1.</w:t>
            </w:r>
          </w:p>
        </w:tc>
        <w:tc>
          <w:tcPr>
            <w:tcW w:w="3963" w:type="dxa"/>
            <w:tcBorders>
              <w:top w:val="single" w:sz="4" w:space="0" w:color="000000"/>
              <w:left w:val="single" w:sz="4" w:space="0" w:color="000000"/>
              <w:bottom w:val="single" w:sz="4" w:space="0" w:color="000000"/>
              <w:right w:val="single" w:sz="4" w:space="0" w:color="000000"/>
            </w:tcBorders>
          </w:tcPr>
          <w:p w14:paraId="7AB356F8" w14:textId="77777777" w:rsidR="00A17E66" w:rsidRPr="00A17E66" w:rsidRDefault="00A17E66" w:rsidP="00231660">
            <w:pPr>
              <w:rPr>
                <w:rFonts w:asciiTheme="majorHAnsi" w:hAnsiTheme="majorHAnsi" w:cstheme="majorHAnsi"/>
                <w:sz w:val="22"/>
                <w:lang w:val="pt-BR"/>
              </w:rPr>
            </w:pPr>
            <w:r w:rsidRPr="00A17E66">
              <w:rPr>
                <w:rFonts w:asciiTheme="majorHAnsi" w:hAnsiTheme="majorHAnsi" w:cstheme="majorHAnsi"/>
                <w:sz w:val="22"/>
                <w:lang w:val="pt-BR"/>
              </w:rPr>
              <w:t>Komplektuojamo sektorinio ultragarsinio daviklio savybės</w:t>
            </w:r>
          </w:p>
          <w:p w14:paraId="4D1C6B84" w14:textId="77777777" w:rsidR="00A17E66" w:rsidRPr="00A17E66" w:rsidRDefault="00A17E66" w:rsidP="00231660">
            <w:pPr>
              <w:snapToGrid w:val="0"/>
              <w:rPr>
                <w:rFonts w:asciiTheme="majorHAnsi" w:hAnsiTheme="majorHAnsi" w:cstheme="majorHAnsi"/>
                <w:kern w:val="2"/>
                <w:sz w:val="22"/>
                <w:lang w:eastAsia="ar-SA"/>
              </w:rPr>
            </w:pPr>
          </w:p>
        </w:tc>
        <w:tc>
          <w:tcPr>
            <w:tcW w:w="5252" w:type="dxa"/>
            <w:tcBorders>
              <w:top w:val="single" w:sz="4" w:space="0" w:color="000000"/>
              <w:left w:val="single" w:sz="4" w:space="0" w:color="000000"/>
              <w:bottom w:val="single" w:sz="4" w:space="0" w:color="000000"/>
              <w:right w:val="single" w:sz="4" w:space="0" w:color="000000"/>
            </w:tcBorders>
          </w:tcPr>
          <w:p w14:paraId="565597DE"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 xml:space="preserve">Sektorinis daviklis, skirtas </w:t>
            </w:r>
            <w:proofErr w:type="spellStart"/>
            <w:r w:rsidRPr="00A17E66">
              <w:rPr>
                <w:rFonts w:asciiTheme="majorHAnsi" w:hAnsiTheme="majorHAnsi" w:cstheme="majorHAnsi"/>
                <w:sz w:val="22"/>
              </w:rPr>
              <w:t>transtorakaliniams</w:t>
            </w:r>
            <w:proofErr w:type="spellEnd"/>
            <w:r w:rsidRPr="00A17E66">
              <w:rPr>
                <w:rFonts w:asciiTheme="majorHAnsi" w:hAnsiTheme="majorHAnsi" w:cstheme="majorHAnsi"/>
                <w:sz w:val="22"/>
              </w:rPr>
              <w:t xml:space="preserve"> suaugusiųjų širdies tyrimams, kurio dažnių diapazonas ne siauresnis kaip </w:t>
            </w:r>
            <w:r w:rsidRPr="00A17E66">
              <w:rPr>
                <w:rFonts w:asciiTheme="majorHAnsi" w:hAnsiTheme="majorHAnsi" w:cstheme="majorHAnsi"/>
                <w:color w:val="000000"/>
                <w:sz w:val="22"/>
              </w:rPr>
              <w:t>nuo 1,4 iki 5,0 MHz</w:t>
            </w:r>
            <w:r w:rsidRPr="00A17E66">
              <w:rPr>
                <w:rFonts w:asciiTheme="majorHAnsi" w:hAnsiTheme="majorHAnsi" w:cstheme="majorHAnsi"/>
                <w:sz w:val="22"/>
              </w:rPr>
              <w:t>,  kristalų kiekis ne mažesnis už 125.</w:t>
            </w:r>
          </w:p>
        </w:tc>
      </w:tr>
      <w:tr w:rsidR="00A17E66" w:rsidRPr="00A17E66" w14:paraId="55429B83" w14:textId="77777777" w:rsidTr="00231660">
        <w:trPr>
          <w:trHeight w:val="135"/>
        </w:trPr>
        <w:tc>
          <w:tcPr>
            <w:tcW w:w="708" w:type="dxa"/>
            <w:tcBorders>
              <w:top w:val="single" w:sz="4" w:space="0" w:color="000000"/>
              <w:left w:val="single" w:sz="4" w:space="0" w:color="000000"/>
              <w:bottom w:val="single" w:sz="4" w:space="0" w:color="000000"/>
              <w:right w:val="single" w:sz="4" w:space="0" w:color="000000"/>
            </w:tcBorders>
          </w:tcPr>
          <w:p w14:paraId="7A38F195" w14:textId="77777777" w:rsidR="00A17E66" w:rsidRPr="00A17E66" w:rsidRDefault="00A17E66" w:rsidP="00231660">
            <w:pPr>
              <w:snapToGrid w:val="0"/>
              <w:rPr>
                <w:rFonts w:asciiTheme="majorHAnsi" w:hAnsiTheme="majorHAnsi" w:cstheme="majorHAnsi"/>
                <w:bCs/>
                <w:iCs/>
                <w:kern w:val="2"/>
                <w:sz w:val="22"/>
                <w:lang w:eastAsia="ar-SA"/>
              </w:rPr>
            </w:pPr>
            <w:r w:rsidRPr="00A17E66">
              <w:rPr>
                <w:rFonts w:asciiTheme="majorHAnsi" w:hAnsiTheme="majorHAnsi" w:cstheme="majorHAnsi"/>
                <w:bCs/>
                <w:iCs/>
                <w:kern w:val="2"/>
                <w:sz w:val="22"/>
                <w:lang w:eastAsia="ar-SA"/>
              </w:rPr>
              <w:t>11.2.</w:t>
            </w:r>
          </w:p>
        </w:tc>
        <w:tc>
          <w:tcPr>
            <w:tcW w:w="3963" w:type="dxa"/>
            <w:tcBorders>
              <w:top w:val="single" w:sz="4" w:space="0" w:color="000000"/>
              <w:left w:val="single" w:sz="4" w:space="0" w:color="000000"/>
              <w:bottom w:val="single" w:sz="4" w:space="0" w:color="000000"/>
              <w:right w:val="single" w:sz="4" w:space="0" w:color="000000"/>
            </w:tcBorders>
          </w:tcPr>
          <w:p w14:paraId="7598D604"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 xml:space="preserve">Komplektuojamo </w:t>
            </w:r>
            <w:proofErr w:type="spellStart"/>
            <w:r w:rsidRPr="00A17E66">
              <w:rPr>
                <w:rFonts w:asciiTheme="majorHAnsi" w:hAnsiTheme="majorHAnsi" w:cstheme="majorHAnsi"/>
                <w:sz w:val="22"/>
              </w:rPr>
              <w:t>konveksinio</w:t>
            </w:r>
            <w:proofErr w:type="spellEnd"/>
            <w:r w:rsidRPr="00A17E66">
              <w:rPr>
                <w:rFonts w:asciiTheme="majorHAnsi" w:hAnsiTheme="majorHAnsi" w:cstheme="majorHAnsi"/>
                <w:sz w:val="22"/>
              </w:rPr>
              <w:t xml:space="preserve"> ultragarsinio daviklio savybės</w:t>
            </w:r>
          </w:p>
          <w:p w14:paraId="03573F15" w14:textId="77777777" w:rsidR="00A17E66" w:rsidRPr="00A17E66" w:rsidRDefault="00A17E66" w:rsidP="00231660">
            <w:pPr>
              <w:snapToGrid w:val="0"/>
              <w:rPr>
                <w:rFonts w:asciiTheme="majorHAnsi" w:hAnsiTheme="majorHAnsi" w:cstheme="majorHAnsi"/>
                <w:kern w:val="2"/>
                <w:sz w:val="22"/>
                <w:lang w:eastAsia="ar-SA"/>
              </w:rPr>
            </w:pPr>
          </w:p>
        </w:tc>
        <w:tc>
          <w:tcPr>
            <w:tcW w:w="5252" w:type="dxa"/>
            <w:tcBorders>
              <w:top w:val="single" w:sz="4" w:space="0" w:color="000000"/>
              <w:left w:val="single" w:sz="4" w:space="0" w:color="000000"/>
              <w:bottom w:val="single" w:sz="4" w:space="0" w:color="000000"/>
              <w:right w:val="single" w:sz="4" w:space="0" w:color="000000"/>
            </w:tcBorders>
          </w:tcPr>
          <w:p w14:paraId="451BC432" w14:textId="77777777" w:rsidR="00A17E66" w:rsidRPr="00A17E66" w:rsidRDefault="00A17E66" w:rsidP="00231660">
            <w:pPr>
              <w:rPr>
                <w:rFonts w:asciiTheme="majorHAnsi" w:hAnsiTheme="majorHAnsi" w:cstheme="majorHAnsi"/>
                <w:sz w:val="22"/>
              </w:rPr>
            </w:pPr>
            <w:proofErr w:type="spellStart"/>
            <w:r w:rsidRPr="00A17E66">
              <w:rPr>
                <w:rFonts w:asciiTheme="majorHAnsi" w:hAnsiTheme="majorHAnsi" w:cstheme="majorHAnsi"/>
                <w:sz w:val="22"/>
              </w:rPr>
              <w:t>Konveksinis</w:t>
            </w:r>
            <w:proofErr w:type="spellEnd"/>
            <w:r w:rsidRPr="00A17E66">
              <w:rPr>
                <w:rFonts w:asciiTheme="majorHAnsi" w:hAnsiTheme="majorHAnsi" w:cstheme="majorHAnsi"/>
                <w:sz w:val="22"/>
              </w:rPr>
              <w:t xml:space="preserve"> daviklis skirtas pilvo tyrimams kurio dažnių diapazonas ne siauresnis kaip </w:t>
            </w:r>
            <w:r w:rsidRPr="00A17E66">
              <w:rPr>
                <w:rFonts w:asciiTheme="majorHAnsi" w:hAnsiTheme="majorHAnsi" w:cstheme="majorHAnsi"/>
                <w:color w:val="000000"/>
                <w:sz w:val="22"/>
              </w:rPr>
              <w:t>nuo 1,0 iki 5,0 MHz</w:t>
            </w:r>
            <w:r w:rsidRPr="00A17E66">
              <w:rPr>
                <w:rFonts w:asciiTheme="majorHAnsi" w:hAnsiTheme="majorHAnsi" w:cstheme="majorHAnsi"/>
                <w:sz w:val="22"/>
              </w:rPr>
              <w:t>, skenavimo kampas ne mažesnis už 70°, kristalų kiekis ne mažesnis už 180.</w:t>
            </w:r>
          </w:p>
        </w:tc>
      </w:tr>
      <w:tr w:rsidR="00A17E66" w:rsidRPr="00A17E66" w14:paraId="76AB27E5" w14:textId="77777777" w:rsidTr="00231660">
        <w:trPr>
          <w:trHeight w:val="272"/>
        </w:trPr>
        <w:tc>
          <w:tcPr>
            <w:tcW w:w="708" w:type="dxa"/>
            <w:tcBorders>
              <w:top w:val="single" w:sz="4" w:space="0" w:color="000000"/>
              <w:left w:val="single" w:sz="4" w:space="0" w:color="000000"/>
              <w:bottom w:val="single" w:sz="4" w:space="0" w:color="000000"/>
              <w:right w:val="single" w:sz="4" w:space="0" w:color="000000"/>
            </w:tcBorders>
          </w:tcPr>
          <w:p w14:paraId="7754D943" w14:textId="77777777" w:rsidR="00A17E66" w:rsidRPr="00A17E66" w:rsidRDefault="00A17E66" w:rsidP="00231660">
            <w:pPr>
              <w:snapToGrid w:val="0"/>
              <w:rPr>
                <w:rFonts w:asciiTheme="majorHAnsi" w:hAnsiTheme="majorHAnsi" w:cstheme="majorHAnsi"/>
                <w:bCs/>
                <w:iCs/>
                <w:kern w:val="2"/>
                <w:sz w:val="22"/>
                <w:lang w:eastAsia="ar-SA"/>
              </w:rPr>
            </w:pPr>
            <w:r w:rsidRPr="00A17E66">
              <w:rPr>
                <w:rFonts w:asciiTheme="majorHAnsi" w:hAnsiTheme="majorHAnsi" w:cstheme="majorHAnsi"/>
                <w:bCs/>
                <w:iCs/>
                <w:kern w:val="2"/>
                <w:sz w:val="22"/>
                <w:lang w:eastAsia="ar-SA"/>
              </w:rPr>
              <w:t>11.3.</w:t>
            </w:r>
          </w:p>
        </w:tc>
        <w:tc>
          <w:tcPr>
            <w:tcW w:w="3963" w:type="dxa"/>
            <w:tcBorders>
              <w:top w:val="single" w:sz="4" w:space="0" w:color="000000"/>
              <w:left w:val="single" w:sz="4" w:space="0" w:color="000000"/>
              <w:bottom w:val="single" w:sz="4" w:space="0" w:color="000000"/>
              <w:right w:val="single" w:sz="4" w:space="0" w:color="000000"/>
            </w:tcBorders>
          </w:tcPr>
          <w:p w14:paraId="0D1FD608" w14:textId="77777777" w:rsidR="00A17E66" w:rsidRPr="00A17E66" w:rsidRDefault="00A17E66" w:rsidP="00231660">
            <w:pPr>
              <w:tabs>
                <w:tab w:val="left" w:pos="1245"/>
              </w:tabs>
              <w:snapToGrid w:val="0"/>
              <w:rPr>
                <w:rFonts w:asciiTheme="majorHAnsi" w:hAnsiTheme="majorHAnsi" w:cstheme="majorHAnsi"/>
                <w:kern w:val="2"/>
                <w:sz w:val="22"/>
                <w:lang w:eastAsia="ar-SA"/>
              </w:rPr>
            </w:pPr>
            <w:r w:rsidRPr="00A17E66">
              <w:rPr>
                <w:rFonts w:asciiTheme="majorHAnsi" w:hAnsiTheme="majorHAnsi" w:cstheme="majorHAnsi"/>
                <w:sz w:val="22"/>
                <w:lang w:val="pt-BR"/>
              </w:rPr>
              <w:t>Komplektuojamo linijinio ultragarsinio daviklio savybės</w:t>
            </w:r>
          </w:p>
        </w:tc>
        <w:tc>
          <w:tcPr>
            <w:tcW w:w="5252" w:type="dxa"/>
            <w:tcBorders>
              <w:top w:val="single" w:sz="4" w:space="0" w:color="000000"/>
              <w:left w:val="single" w:sz="4" w:space="0" w:color="000000"/>
              <w:bottom w:val="single" w:sz="4" w:space="0" w:color="000000"/>
              <w:right w:val="single" w:sz="4" w:space="0" w:color="000000"/>
            </w:tcBorders>
          </w:tcPr>
          <w:p w14:paraId="19629998"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 xml:space="preserve">Linijinis daviklis skirtas  krūtų ir smulkiųjų struktūrų tyrimams kurio dažnių diapazonas ne siauresnis kaip </w:t>
            </w:r>
            <w:r w:rsidRPr="00A17E66">
              <w:rPr>
                <w:rFonts w:asciiTheme="majorHAnsi" w:hAnsiTheme="majorHAnsi" w:cstheme="majorHAnsi"/>
                <w:color w:val="000000"/>
                <w:sz w:val="22"/>
              </w:rPr>
              <w:t xml:space="preserve">nuo </w:t>
            </w:r>
            <w:r w:rsidRPr="00A17E66">
              <w:rPr>
                <w:rFonts w:asciiTheme="majorHAnsi" w:hAnsiTheme="majorHAnsi" w:cstheme="majorHAnsi"/>
                <w:color w:val="000000"/>
                <w:sz w:val="22"/>
              </w:rPr>
              <w:lastRenderedPageBreak/>
              <w:t>4,0 iki 15,0 MHz</w:t>
            </w:r>
            <w:r w:rsidRPr="00A17E66">
              <w:rPr>
                <w:rFonts w:asciiTheme="majorHAnsi" w:hAnsiTheme="majorHAnsi" w:cstheme="majorHAnsi"/>
                <w:sz w:val="22"/>
              </w:rPr>
              <w:t xml:space="preserve">, kristalų kiekis ne mažesnis už 950. </w:t>
            </w:r>
            <w:r w:rsidRPr="00A17E66">
              <w:rPr>
                <w:rFonts w:asciiTheme="majorHAnsi" w:hAnsiTheme="majorHAnsi" w:cstheme="majorHAnsi"/>
                <w:color w:val="000000"/>
                <w:sz w:val="22"/>
              </w:rPr>
              <w:t>Daviklio aktyvus skenavimo lango ilgis ≥ 50mm.</w:t>
            </w:r>
          </w:p>
        </w:tc>
      </w:tr>
      <w:tr w:rsidR="00A17E66" w:rsidRPr="00A17E66" w14:paraId="1FC2E319" w14:textId="77777777" w:rsidTr="00231660">
        <w:trPr>
          <w:trHeight w:val="279"/>
        </w:trPr>
        <w:tc>
          <w:tcPr>
            <w:tcW w:w="708" w:type="dxa"/>
            <w:tcBorders>
              <w:top w:val="single" w:sz="4" w:space="0" w:color="000000"/>
              <w:left w:val="single" w:sz="4" w:space="0" w:color="000000"/>
              <w:bottom w:val="single" w:sz="4" w:space="0" w:color="000000"/>
              <w:right w:val="single" w:sz="4" w:space="0" w:color="000000"/>
            </w:tcBorders>
          </w:tcPr>
          <w:p w14:paraId="1F266791"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1F5FE465"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lang w:val="pt-BR"/>
              </w:rPr>
              <w:t>Programinė įranga širdies vaizdų analizei ultragarsinės diagnostikos prietaise</w:t>
            </w:r>
          </w:p>
        </w:tc>
        <w:tc>
          <w:tcPr>
            <w:tcW w:w="5252" w:type="dxa"/>
            <w:tcBorders>
              <w:top w:val="single" w:sz="4" w:space="0" w:color="000000"/>
              <w:left w:val="single" w:sz="4" w:space="0" w:color="000000"/>
              <w:bottom w:val="single" w:sz="4" w:space="0" w:color="000000"/>
              <w:right w:val="single" w:sz="4" w:space="0" w:color="000000"/>
            </w:tcBorders>
          </w:tcPr>
          <w:p w14:paraId="3CC9AB71"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lang w:val="pt-BR"/>
              </w:rPr>
              <w:t>Standartiniams morfometriniams, funkciniams ir hemodinaminiams parametrams išmatuoti ir skaičiuoti.</w:t>
            </w:r>
          </w:p>
        </w:tc>
      </w:tr>
      <w:tr w:rsidR="00A17E66" w:rsidRPr="00A17E66" w14:paraId="0688E3A1" w14:textId="77777777" w:rsidTr="00231660">
        <w:trPr>
          <w:trHeight w:val="1022"/>
        </w:trPr>
        <w:tc>
          <w:tcPr>
            <w:tcW w:w="708" w:type="dxa"/>
            <w:tcBorders>
              <w:top w:val="single" w:sz="4" w:space="0" w:color="000000"/>
              <w:left w:val="single" w:sz="4" w:space="0" w:color="000000"/>
              <w:bottom w:val="single" w:sz="4" w:space="0" w:color="000000"/>
              <w:right w:val="single" w:sz="4" w:space="0" w:color="000000"/>
            </w:tcBorders>
          </w:tcPr>
          <w:p w14:paraId="128EEFC8"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109179E4"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DICOM standarto programinė įranga</w:t>
            </w:r>
          </w:p>
        </w:tc>
        <w:tc>
          <w:tcPr>
            <w:tcW w:w="5252" w:type="dxa"/>
            <w:tcBorders>
              <w:top w:val="single" w:sz="4" w:space="0" w:color="000000"/>
              <w:left w:val="single" w:sz="4" w:space="0" w:color="000000"/>
              <w:bottom w:val="single" w:sz="4" w:space="0" w:color="000000"/>
              <w:right w:val="single" w:sz="4" w:space="0" w:color="000000"/>
            </w:tcBorders>
          </w:tcPr>
          <w:p w14:paraId="37FDD614" w14:textId="77777777" w:rsidR="00A17E66" w:rsidRPr="00A17E66" w:rsidRDefault="00A17E66" w:rsidP="00A17E66">
            <w:pPr>
              <w:pStyle w:val="Sraopastraipa"/>
              <w:numPr>
                <w:ilvl w:val="0"/>
                <w:numId w:val="5"/>
              </w:numPr>
              <w:tabs>
                <w:tab w:val="left" w:pos="264"/>
                <w:tab w:val="left" w:pos="487"/>
                <w:tab w:val="left" w:pos="547"/>
              </w:tabs>
              <w:suppressAutoHyphens w:val="0"/>
              <w:ind w:left="62" w:hanging="62"/>
              <w:rPr>
                <w:rFonts w:asciiTheme="majorHAnsi" w:hAnsiTheme="majorHAnsi" w:cstheme="majorHAnsi"/>
                <w:sz w:val="22"/>
                <w:szCs w:val="22"/>
              </w:rPr>
            </w:pPr>
            <w:r w:rsidRPr="00A17E66">
              <w:rPr>
                <w:rFonts w:asciiTheme="majorHAnsi" w:hAnsiTheme="majorHAnsi" w:cstheme="majorHAnsi"/>
                <w:sz w:val="22"/>
                <w:szCs w:val="22"/>
              </w:rPr>
              <w:t xml:space="preserve">DICOM </w:t>
            </w:r>
            <w:proofErr w:type="spellStart"/>
            <w:r w:rsidRPr="00A17E66">
              <w:rPr>
                <w:rFonts w:asciiTheme="majorHAnsi" w:hAnsiTheme="majorHAnsi" w:cstheme="majorHAnsi"/>
                <w:sz w:val="22"/>
                <w:szCs w:val="22"/>
              </w:rPr>
              <w:t>send</w:t>
            </w:r>
            <w:proofErr w:type="spellEnd"/>
            <w:r w:rsidRPr="00A17E66">
              <w:rPr>
                <w:rFonts w:asciiTheme="majorHAnsi" w:hAnsiTheme="majorHAnsi" w:cstheme="majorHAnsi"/>
                <w:sz w:val="22"/>
                <w:szCs w:val="22"/>
              </w:rPr>
              <w:t xml:space="preserve"> arba DICOM </w:t>
            </w:r>
            <w:proofErr w:type="spellStart"/>
            <w:r w:rsidRPr="00A17E66">
              <w:rPr>
                <w:rFonts w:asciiTheme="majorHAnsi" w:hAnsiTheme="majorHAnsi" w:cstheme="majorHAnsi"/>
                <w:sz w:val="22"/>
                <w:szCs w:val="22"/>
              </w:rPr>
              <w:t>store</w:t>
            </w:r>
            <w:proofErr w:type="spellEnd"/>
            <w:r w:rsidRPr="00A17E66">
              <w:rPr>
                <w:rFonts w:asciiTheme="majorHAnsi" w:hAnsiTheme="majorHAnsi" w:cstheme="majorHAnsi"/>
                <w:sz w:val="22"/>
                <w:szCs w:val="22"/>
              </w:rPr>
              <w:t xml:space="preserve"> arba lygiavertis formatas;</w:t>
            </w:r>
          </w:p>
          <w:p w14:paraId="200A843A" w14:textId="77777777" w:rsidR="00A17E66" w:rsidRPr="00A17E66" w:rsidRDefault="00A17E66" w:rsidP="00A17E66">
            <w:pPr>
              <w:pStyle w:val="Sraopastraipa"/>
              <w:numPr>
                <w:ilvl w:val="0"/>
                <w:numId w:val="5"/>
              </w:numPr>
              <w:tabs>
                <w:tab w:val="left" w:pos="264"/>
                <w:tab w:val="left" w:pos="547"/>
              </w:tabs>
              <w:suppressAutoHyphens w:val="0"/>
              <w:ind w:left="0" w:firstLine="0"/>
              <w:rPr>
                <w:rFonts w:asciiTheme="majorHAnsi" w:hAnsiTheme="majorHAnsi" w:cstheme="majorHAnsi"/>
                <w:sz w:val="22"/>
                <w:szCs w:val="22"/>
              </w:rPr>
            </w:pPr>
            <w:r w:rsidRPr="00A17E66">
              <w:rPr>
                <w:rFonts w:asciiTheme="majorHAnsi" w:hAnsiTheme="majorHAnsi" w:cstheme="majorHAnsi"/>
                <w:sz w:val="22"/>
                <w:szCs w:val="22"/>
              </w:rPr>
              <w:t xml:space="preserve">DICOM </w:t>
            </w:r>
            <w:proofErr w:type="spellStart"/>
            <w:r w:rsidRPr="00A17E66">
              <w:rPr>
                <w:rFonts w:asciiTheme="majorHAnsi" w:hAnsiTheme="majorHAnsi" w:cstheme="majorHAnsi"/>
                <w:sz w:val="22"/>
                <w:szCs w:val="22"/>
              </w:rPr>
              <w:t>query</w:t>
            </w:r>
            <w:proofErr w:type="spellEnd"/>
            <w:r w:rsidRPr="00A17E66">
              <w:rPr>
                <w:rFonts w:asciiTheme="majorHAnsi" w:hAnsiTheme="majorHAnsi" w:cstheme="majorHAnsi"/>
                <w:sz w:val="22"/>
                <w:szCs w:val="22"/>
              </w:rPr>
              <w:t xml:space="preserve"> &amp; </w:t>
            </w:r>
            <w:proofErr w:type="spellStart"/>
            <w:r w:rsidRPr="00A17E66">
              <w:rPr>
                <w:rFonts w:asciiTheme="majorHAnsi" w:hAnsiTheme="majorHAnsi" w:cstheme="majorHAnsi"/>
                <w:sz w:val="22"/>
                <w:szCs w:val="22"/>
              </w:rPr>
              <w:t>retrieve</w:t>
            </w:r>
            <w:proofErr w:type="spellEnd"/>
            <w:r w:rsidRPr="00A17E66">
              <w:rPr>
                <w:rFonts w:asciiTheme="majorHAnsi" w:hAnsiTheme="majorHAnsi" w:cstheme="majorHAnsi"/>
                <w:sz w:val="22"/>
                <w:szCs w:val="22"/>
              </w:rPr>
              <w:t>;</w:t>
            </w:r>
          </w:p>
          <w:p w14:paraId="4E7F5912" w14:textId="77777777" w:rsidR="00A17E66" w:rsidRPr="00A17E66" w:rsidRDefault="00A17E66" w:rsidP="00231660">
            <w:pPr>
              <w:tabs>
                <w:tab w:val="left" w:pos="432"/>
              </w:tabs>
              <w:rPr>
                <w:rFonts w:asciiTheme="majorHAnsi" w:hAnsiTheme="majorHAnsi" w:cstheme="majorHAnsi"/>
                <w:sz w:val="22"/>
              </w:rPr>
            </w:pPr>
            <w:r w:rsidRPr="00A17E66">
              <w:rPr>
                <w:rFonts w:asciiTheme="majorHAnsi" w:hAnsiTheme="majorHAnsi" w:cstheme="majorHAnsi"/>
                <w:sz w:val="22"/>
              </w:rPr>
              <w:t xml:space="preserve">DICOM </w:t>
            </w:r>
            <w:proofErr w:type="spellStart"/>
            <w:r w:rsidRPr="00A17E66">
              <w:rPr>
                <w:rFonts w:asciiTheme="majorHAnsi" w:hAnsiTheme="majorHAnsi" w:cstheme="majorHAnsi"/>
                <w:sz w:val="22"/>
              </w:rPr>
              <w:t>worklist</w:t>
            </w:r>
            <w:proofErr w:type="spellEnd"/>
            <w:r w:rsidRPr="00A17E66">
              <w:rPr>
                <w:rFonts w:asciiTheme="majorHAnsi" w:hAnsiTheme="majorHAnsi" w:cstheme="majorHAnsi"/>
                <w:sz w:val="22"/>
              </w:rPr>
              <w:t>.</w:t>
            </w:r>
          </w:p>
        </w:tc>
      </w:tr>
      <w:tr w:rsidR="00A17E66" w:rsidRPr="00A17E66" w14:paraId="3C876EBE" w14:textId="77777777" w:rsidTr="00231660">
        <w:trPr>
          <w:trHeight w:val="162"/>
        </w:trPr>
        <w:tc>
          <w:tcPr>
            <w:tcW w:w="708" w:type="dxa"/>
            <w:tcBorders>
              <w:top w:val="single" w:sz="4" w:space="0" w:color="000000"/>
              <w:left w:val="single" w:sz="4" w:space="0" w:color="000000"/>
              <w:bottom w:val="single" w:sz="4" w:space="0" w:color="000000"/>
              <w:right w:val="single" w:sz="4" w:space="0" w:color="000000"/>
            </w:tcBorders>
          </w:tcPr>
          <w:p w14:paraId="4C915408"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7E5187C0"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Vaizdo monitoriaus savybės</w:t>
            </w:r>
          </w:p>
        </w:tc>
        <w:tc>
          <w:tcPr>
            <w:tcW w:w="5252" w:type="dxa"/>
            <w:tcBorders>
              <w:top w:val="single" w:sz="4" w:space="0" w:color="000000"/>
              <w:left w:val="single" w:sz="4" w:space="0" w:color="000000"/>
              <w:bottom w:val="single" w:sz="4" w:space="0" w:color="000000"/>
              <w:right w:val="single" w:sz="4" w:space="0" w:color="000000"/>
            </w:tcBorders>
          </w:tcPr>
          <w:p w14:paraId="18D1D095" w14:textId="77777777" w:rsidR="00A17E66" w:rsidRPr="00A17E66" w:rsidRDefault="00A17E66" w:rsidP="00231660">
            <w:pPr>
              <w:pStyle w:val="Sraopastraipa"/>
              <w:tabs>
                <w:tab w:val="left" w:pos="173"/>
              </w:tabs>
              <w:suppressAutoHyphens w:val="0"/>
              <w:ind w:left="0"/>
              <w:rPr>
                <w:rFonts w:asciiTheme="majorHAnsi" w:hAnsiTheme="majorHAnsi" w:cstheme="majorHAnsi"/>
                <w:sz w:val="22"/>
                <w:szCs w:val="22"/>
              </w:rPr>
            </w:pPr>
            <w:r w:rsidRPr="00A17E66">
              <w:rPr>
                <w:rFonts w:asciiTheme="majorHAnsi" w:hAnsiTheme="majorHAnsi" w:cstheme="majorHAnsi"/>
                <w:sz w:val="22"/>
                <w:szCs w:val="22"/>
              </w:rPr>
              <w:t>1. Didelės raiškos (</w:t>
            </w:r>
            <w:r w:rsidRPr="00A17E66">
              <w:rPr>
                <w:rFonts w:asciiTheme="majorHAnsi" w:hAnsiTheme="majorHAnsi" w:cstheme="majorHAnsi"/>
                <w:i/>
                <w:iCs/>
                <w:sz w:val="22"/>
                <w:szCs w:val="22"/>
              </w:rPr>
              <w:t>HD</w:t>
            </w:r>
            <w:r w:rsidRPr="00A17E66">
              <w:rPr>
                <w:rFonts w:asciiTheme="majorHAnsi" w:hAnsiTheme="majorHAnsi" w:cstheme="majorHAnsi"/>
                <w:sz w:val="22"/>
                <w:szCs w:val="22"/>
              </w:rPr>
              <w:t>) skystųjų kristalų (</w:t>
            </w:r>
            <w:r w:rsidRPr="00A17E66">
              <w:rPr>
                <w:rFonts w:asciiTheme="majorHAnsi" w:hAnsiTheme="majorHAnsi" w:cstheme="majorHAnsi"/>
                <w:i/>
                <w:iCs/>
                <w:sz w:val="22"/>
                <w:szCs w:val="22"/>
              </w:rPr>
              <w:t>LCD</w:t>
            </w:r>
            <w:r w:rsidRPr="00A17E66">
              <w:rPr>
                <w:rFonts w:asciiTheme="majorHAnsi" w:hAnsiTheme="majorHAnsi" w:cstheme="majorHAnsi"/>
                <w:sz w:val="22"/>
                <w:szCs w:val="22"/>
              </w:rPr>
              <w:t>) arba lygiavertis;</w:t>
            </w:r>
          </w:p>
          <w:p w14:paraId="443B931C"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2. Ne mažesnė kaip 22 colio įstrižainė.</w:t>
            </w:r>
          </w:p>
        </w:tc>
      </w:tr>
      <w:tr w:rsidR="00A17E66" w:rsidRPr="00A17E66" w14:paraId="3A3F751D" w14:textId="77777777" w:rsidTr="00231660">
        <w:trPr>
          <w:trHeight w:val="162"/>
        </w:trPr>
        <w:tc>
          <w:tcPr>
            <w:tcW w:w="708" w:type="dxa"/>
            <w:tcBorders>
              <w:top w:val="single" w:sz="4" w:space="0" w:color="000000"/>
              <w:left w:val="single" w:sz="4" w:space="0" w:color="000000"/>
              <w:bottom w:val="single" w:sz="4" w:space="0" w:color="000000"/>
              <w:right w:val="single" w:sz="4" w:space="0" w:color="000000"/>
            </w:tcBorders>
          </w:tcPr>
          <w:p w14:paraId="32B03322"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2CA67D77"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Fiziologinių kreivių rodymas ekrane</w:t>
            </w:r>
          </w:p>
        </w:tc>
        <w:tc>
          <w:tcPr>
            <w:tcW w:w="5252" w:type="dxa"/>
            <w:tcBorders>
              <w:top w:val="single" w:sz="4" w:space="0" w:color="000000"/>
              <w:left w:val="single" w:sz="4" w:space="0" w:color="000000"/>
              <w:bottom w:val="single" w:sz="4" w:space="0" w:color="000000"/>
              <w:right w:val="single" w:sz="4" w:space="0" w:color="000000"/>
            </w:tcBorders>
          </w:tcPr>
          <w:p w14:paraId="0A27F71B"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Sinchronizuota su vaizdu EKG</w:t>
            </w:r>
          </w:p>
        </w:tc>
      </w:tr>
      <w:tr w:rsidR="00A17E66" w:rsidRPr="00A17E66" w14:paraId="34A076D6" w14:textId="77777777" w:rsidTr="00231660">
        <w:trPr>
          <w:trHeight w:val="162"/>
        </w:trPr>
        <w:tc>
          <w:tcPr>
            <w:tcW w:w="708" w:type="dxa"/>
            <w:tcBorders>
              <w:top w:val="single" w:sz="4" w:space="0" w:color="000000"/>
              <w:left w:val="single" w:sz="4" w:space="0" w:color="000000"/>
              <w:bottom w:val="single" w:sz="4" w:space="0" w:color="000000"/>
              <w:right w:val="single" w:sz="4" w:space="0" w:color="000000"/>
            </w:tcBorders>
          </w:tcPr>
          <w:p w14:paraId="2F7CBD1E"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5F6FEABC"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sz w:val="22"/>
              </w:rPr>
              <w:t>Priedai ir jų savybės</w:t>
            </w:r>
          </w:p>
        </w:tc>
        <w:tc>
          <w:tcPr>
            <w:tcW w:w="5252" w:type="dxa"/>
            <w:tcBorders>
              <w:top w:val="single" w:sz="4" w:space="0" w:color="000000"/>
              <w:left w:val="single" w:sz="4" w:space="0" w:color="000000"/>
              <w:bottom w:val="single" w:sz="4" w:space="0" w:color="000000"/>
              <w:right w:val="single" w:sz="4" w:space="0" w:color="000000"/>
            </w:tcBorders>
          </w:tcPr>
          <w:p w14:paraId="638D0908" w14:textId="77777777" w:rsidR="00A17E66" w:rsidRPr="00A17E66" w:rsidRDefault="00A17E66" w:rsidP="00231660">
            <w:pPr>
              <w:rPr>
                <w:rFonts w:asciiTheme="majorHAnsi" w:hAnsiTheme="majorHAnsi" w:cstheme="majorHAnsi"/>
                <w:sz w:val="22"/>
              </w:rPr>
            </w:pPr>
            <w:r w:rsidRPr="00A17E66">
              <w:rPr>
                <w:rFonts w:asciiTheme="majorHAnsi" w:hAnsiTheme="majorHAnsi" w:cstheme="majorHAnsi"/>
                <w:sz w:val="22"/>
              </w:rPr>
              <w:t>EKG laidų ir daugkartinių elektrodų komplektas.</w:t>
            </w:r>
          </w:p>
        </w:tc>
      </w:tr>
      <w:tr w:rsidR="00A17E66" w:rsidRPr="00A17E66" w14:paraId="29872A3F" w14:textId="77777777" w:rsidTr="00231660">
        <w:trPr>
          <w:trHeight w:val="162"/>
        </w:trPr>
        <w:tc>
          <w:tcPr>
            <w:tcW w:w="708" w:type="dxa"/>
            <w:tcBorders>
              <w:top w:val="single" w:sz="4" w:space="0" w:color="000000"/>
              <w:left w:val="single" w:sz="4" w:space="0" w:color="000000"/>
              <w:bottom w:val="single" w:sz="4" w:space="0" w:color="000000"/>
              <w:right w:val="single" w:sz="4" w:space="0" w:color="000000"/>
            </w:tcBorders>
          </w:tcPr>
          <w:p w14:paraId="0AFBBE0C"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76B67EB7"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color w:val="000000"/>
                <w:sz w:val="22"/>
              </w:rPr>
              <w:t>Išėjimo sąsajos</w:t>
            </w:r>
          </w:p>
        </w:tc>
        <w:tc>
          <w:tcPr>
            <w:tcW w:w="5252" w:type="dxa"/>
            <w:tcBorders>
              <w:top w:val="single" w:sz="4" w:space="0" w:color="000000"/>
              <w:left w:val="single" w:sz="4" w:space="0" w:color="000000"/>
              <w:bottom w:val="single" w:sz="4" w:space="0" w:color="000000"/>
              <w:right w:val="single" w:sz="4" w:space="0" w:color="000000"/>
            </w:tcBorders>
          </w:tcPr>
          <w:p w14:paraId="522820B3" w14:textId="77777777" w:rsidR="00A17E66" w:rsidRPr="00A17E66" w:rsidRDefault="00A17E66" w:rsidP="00A17E66">
            <w:pPr>
              <w:pStyle w:val="Sraopastraipa"/>
              <w:numPr>
                <w:ilvl w:val="0"/>
                <w:numId w:val="6"/>
              </w:numPr>
              <w:tabs>
                <w:tab w:val="left" w:pos="264"/>
              </w:tabs>
              <w:suppressAutoHyphens w:val="0"/>
              <w:ind w:hanging="433"/>
              <w:jc w:val="both"/>
              <w:rPr>
                <w:rFonts w:asciiTheme="majorHAnsi" w:hAnsiTheme="majorHAnsi" w:cstheme="majorHAnsi"/>
                <w:color w:val="000000"/>
                <w:sz w:val="22"/>
                <w:szCs w:val="22"/>
              </w:rPr>
            </w:pPr>
            <w:proofErr w:type="spellStart"/>
            <w:r w:rsidRPr="00A17E66">
              <w:rPr>
                <w:rFonts w:asciiTheme="majorHAnsi" w:hAnsiTheme="majorHAnsi" w:cstheme="majorHAnsi"/>
                <w:color w:val="000000"/>
                <w:sz w:val="22"/>
                <w:szCs w:val="22"/>
              </w:rPr>
              <w:t>Ethernet</w:t>
            </w:r>
            <w:proofErr w:type="spellEnd"/>
            <w:r w:rsidRPr="00A17E66">
              <w:rPr>
                <w:rFonts w:asciiTheme="majorHAnsi" w:hAnsiTheme="majorHAnsi" w:cstheme="majorHAnsi"/>
                <w:color w:val="000000"/>
                <w:sz w:val="22"/>
                <w:szCs w:val="22"/>
              </w:rPr>
              <w:t>;</w:t>
            </w:r>
          </w:p>
          <w:p w14:paraId="687B545B" w14:textId="77777777" w:rsidR="00A17E66" w:rsidRPr="00A17E66" w:rsidRDefault="00A17E66" w:rsidP="00A17E66">
            <w:pPr>
              <w:pStyle w:val="Sraopastraipa"/>
              <w:numPr>
                <w:ilvl w:val="0"/>
                <w:numId w:val="6"/>
              </w:numPr>
              <w:tabs>
                <w:tab w:val="left" w:pos="264"/>
              </w:tabs>
              <w:suppressAutoHyphens w:val="0"/>
              <w:ind w:left="0" w:firstLine="0"/>
              <w:jc w:val="both"/>
              <w:rPr>
                <w:rFonts w:asciiTheme="majorHAnsi" w:hAnsiTheme="majorHAnsi" w:cstheme="majorHAnsi"/>
                <w:color w:val="000000"/>
                <w:sz w:val="22"/>
                <w:szCs w:val="22"/>
              </w:rPr>
            </w:pPr>
            <w:r w:rsidRPr="00A17E66">
              <w:rPr>
                <w:rFonts w:asciiTheme="majorHAnsi" w:hAnsiTheme="majorHAnsi" w:cstheme="majorHAnsi"/>
                <w:color w:val="000000"/>
                <w:sz w:val="22"/>
                <w:szCs w:val="22"/>
              </w:rPr>
              <w:t xml:space="preserve">HDMI ir /arba </w:t>
            </w:r>
            <w:proofErr w:type="spellStart"/>
            <w:r w:rsidRPr="00A17E66">
              <w:rPr>
                <w:rFonts w:asciiTheme="majorHAnsi" w:hAnsiTheme="majorHAnsi" w:cstheme="majorHAnsi"/>
                <w:color w:val="000000"/>
                <w:sz w:val="22"/>
                <w:szCs w:val="22"/>
              </w:rPr>
              <w:t>DisplayPort</w:t>
            </w:r>
            <w:proofErr w:type="spellEnd"/>
            <w:r w:rsidRPr="00A17E66">
              <w:rPr>
                <w:rFonts w:asciiTheme="majorHAnsi" w:hAnsiTheme="majorHAnsi" w:cstheme="majorHAnsi"/>
                <w:color w:val="000000"/>
                <w:sz w:val="22"/>
                <w:szCs w:val="22"/>
              </w:rPr>
              <w:t xml:space="preserve"> ir/ arba DVI;</w:t>
            </w:r>
          </w:p>
          <w:p w14:paraId="5E602563" w14:textId="77777777" w:rsidR="00A17E66" w:rsidRPr="00A17E66" w:rsidRDefault="00A17E66" w:rsidP="00231660">
            <w:pPr>
              <w:snapToGrid w:val="0"/>
              <w:rPr>
                <w:rFonts w:asciiTheme="majorHAnsi" w:hAnsiTheme="majorHAnsi" w:cstheme="majorHAnsi"/>
                <w:kern w:val="2"/>
                <w:sz w:val="22"/>
                <w:lang w:eastAsia="ar-SA"/>
              </w:rPr>
            </w:pPr>
            <w:r w:rsidRPr="00A17E66">
              <w:rPr>
                <w:rFonts w:asciiTheme="majorHAnsi" w:hAnsiTheme="majorHAnsi" w:cstheme="majorHAnsi"/>
                <w:color w:val="000000"/>
                <w:sz w:val="22"/>
              </w:rPr>
              <w:t>USB jungtis.</w:t>
            </w:r>
          </w:p>
        </w:tc>
      </w:tr>
      <w:tr w:rsidR="00A17E66" w:rsidRPr="00A17E66" w14:paraId="79C2F985" w14:textId="77777777" w:rsidTr="00231660">
        <w:trPr>
          <w:trHeight w:val="135"/>
        </w:trPr>
        <w:tc>
          <w:tcPr>
            <w:tcW w:w="708" w:type="dxa"/>
            <w:tcBorders>
              <w:top w:val="single" w:sz="4" w:space="0" w:color="000000"/>
              <w:left w:val="single" w:sz="4" w:space="0" w:color="000000"/>
              <w:bottom w:val="single" w:sz="4" w:space="0" w:color="000000"/>
              <w:right w:val="single" w:sz="4" w:space="0" w:color="000000"/>
            </w:tcBorders>
          </w:tcPr>
          <w:p w14:paraId="416C8037"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7A7F82D6" w14:textId="77777777" w:rsidR="00A17E66" w:rsidRPr="00A17E66" w:rsidRDefault="00A17E66" w:rsidP="00231660">
            <w:pPr>
              <w:widowControl w:val="0"/>
              <w:rPr>
                <w:rFonts w:asciiTheme="majorHAnsi" w:hAnsiTheme="majorHAnsi" w:cstheme="majorHAnsi"/>
                <w:kern w:val="2"/>
                <w:sz w:val="22"/>
                <w:lang w:eastAsia="ar-SA"/>
              </w:rPr>
            </w:pPr>
            <w:r w:rsidRPr="00A17E66">
              <w:rPr>
                <w:rFonts w:asciiTheme="majorHAnsi" w:hAnsiTheme="majorHAnsi" w:cstheme="majorHAnsi"/>
                <w:kern w:val="2"/>
                <w:sz w:val="22"/>
                <w:lang w:eastAsia="ar-SA"/>
              </w:rPr>
              <w:t>Garantija</w:t>
            </w:r>
          </w:p>
        </w:tc>
        <w:tc>
          <w:tcPr>
            <w:tcW w:w="5252" w:type="dxa"/>
            <w:tcBorders>
              <w:top w:val="single" w:sz="4" w:space="0" w:color="000000"/>
              <w:left w:val="single" w:sz="4" w:space="0" w:color="000000"/>
              <w:bottom w:val="single" w:sz="4" w:space="0" w:color="000000"/>
              <w:right w:val="single" w:sz="4" w:space="0" w:color="000000"/>
            </w:tcBorders>
          </w:tcPr>
          <w:p w14:paraId="08CB492D" w14:textId="77777777" w:rsidR="00A17E66" w:rsidRPr="00A17E66" w:rsidRDefault="00A17E66" w:rsidP="00231660">
            <w:pPr>
              <w:snapToGrid w:val="0"/>
              <w:ind w:left="30"/>
              <w:rPr>
                <w:rFonts w:asciiTheme="majorHAnsi" w:hAnsiTheme="majorHAnsi" w:cstheme="majorHAnsi"/>
                <w:kern w:val="2"/>
                <w:sz w:val="22"/>
                <w:lang w:eastAsia="ar-SA"/>
              </w:rPr>
            </w:pPr>
            <w:r w:rsidRPr="00A17E66">
              <w:rPr>
                <w:rFonts w:asciiTheme="majorHAnsi" w:hAnsiTheme="majorHAnsi" w:cstheme="majorHAnsi"/>
                <w:kern w:val="2"/>
                <w:sz w:val="22"/>
                <w:lang w:eastAsia="ar-SA"/>
              </w:rPr>
              <w:t>≥ 24 mėnesiai</w:t>
            </w:r>
          </w:p>
        </w:tc>
      </w:tr>
      <w:tr w:rsidR="00A17E66" w:rsidRPr="00A17E66" w14:paraId="50D9D306" w14:textId="77777777" w:rsidTr="00231660">
        <w:trPr>
          <w:trHeight w:val="261"/>
        </w:trPr>
        <w:tc>
          <w:tcPr>
            <w:tcW w:w="708" w:type="dxa"/>
            <w:tcBorders>
              <w:top w:val="single" w:sz="4" w:space="0" w:color="000000"/>
              <w:left w:val="single" w:sz="4" w:space="0" w:color="000000"/>
              <w:bottom w:val="single" w:sz="4" w:space="0" w:color="000000"/>
              <w:right w:val="single" w:sz="4" w:space="0" w:color="000000"/>
            </w:tcBorders>
          </w:tcPr>
          <w:p w14:paraId="47EB49AB" w14:textId="77777777" w:rsidR="00A17E66" w:rsidRPr="00A17E66" w:rsidRDefault="00A17E66" w:rsidP="00A17E66">
            <w:pPr>
              <w:numPr>
                <w:ilvl w:val="0"/>
                <w:numId w:val="2"/>
              </w:numPr>
              <w:autoSpaceDN/>
              <w:snapToGrid w:val="0"/>
              <w:spacing w:after="0" w:line="240" w:lineRule="auto"/>
              <w:ind w:left="357" w:hanging="357"/>
              <w:jc w:val="center"/>
              <w:textAlignment w:val="auto"/>
              <w:rPr>
                <w:rFonts w:asciiTheme="majorHAnsi" w:hAnsiTheme="majorHAnsi" w:cstheme="majorHAnsi"/>
                <w:bCs/>
                <w:i/>
                <w:kern w:val="2"/>
                <w:sz w:val="22"/>
                <w:lang w:eastAsia="ar-SA"/>
              </w:rPr>
            </w:pPr>
          </w:p>
        </w:tc>
        <w:tc>
          <w:tcPr>
            <w:tcW w:w="3963" w:type="dxa"/>
            <w:tcBorders>
              <w:top w:val="single" w:sz="4" w:space="0" w:color="000000"/>
              <w:left w:val="single" w:sz="4" w:space="0" w:color="000000"/>
              <w:bottom w:val="single" w:sz="4" w:space="0" w:color="000000"/>
              <w:right w:val="single" w:sz="4" w:space="0" w:color="000000"/>
            </w:tcBorders>
          </w:tcPr>
          <w:p w14:paraId="287603C2" w14:textId="77777777" w:rsidR="00A17E66" w:rsidRPr="00A17E66" w:rsidRDefault="00A17E66" w:rsidP="00231660">
            <w:pPr>
              <w:widowControl w:val="0"/>
              <w:rPr>
                <w:rFonts w:asciiTheme="majorHAnsi" w:hAnsiTheme="majorHAnsi" w:cstheme="majorHAnsi"/>
                <w:kern w:val="2"/>
                <w:sz w:val="22"/>
                <w:lang w:eastAsia="ar-SA"/>
              </w:rPr>
            </w:pPr>
            <w:r w:rsidRPr="00A17E66">
              <w:rPr>
                <w:rFonts w:asciiTheme="majorHAnsi" w:hAnsiTheme="majorHAnsi" w:cstheme="majorHAnsi"/>
                <w:kern w:val="2"/>
                <w:sz w:val="22"/>
                <w:lang w:eastAsia="ar-SA"/>
              </w:rPr>
              <w:t>CE ženklinimas</w:t>
            </w:r>
          </w:p>
        </w:tc>
        <w:tc>
          <w:tcPr>
            <w:tcW w:w="5252" w:type="dxa"/>
            <w:tcBorders>
              <w:top w:val="single" w:sz="4" w:space="0" w:color="000000"/>
              <w:left w:val="single" w:sz="4" w:space="0" w:color="000000"/>
              <w:bottom w:val="single" w:sz="4" w:space="0" w:color="000000"/>
              <w:right w:val="single" w:sz="4" w:space="0" w:color="000000"/>
            </w:tcBorders>
          </w:tcPr>
          <w:p w14:paraId="527AECC3" w14:textId="77777777" w:rsidR="00A17E66" w:rsidRPr="00A17E66" w:rsidRDefault="00A17E66" w:rsidP="00231660">
            <w:pPr>
              <w:snapToGrid w:val="0"/>
              <w:ind w:left="30"/>
              <w:rPr>
                <w:rFonts w:asciiTheme="majorHAnsi" w:hAnsiTheme="majorHAnsi" w:cstheme="majorHAnsi"/>
                <w:kern w:val="2"/>
                <w:sz w:val="22"/>
                <w:lang w:eastAsia="ar-SA"/>
              </w:rPr>
            </w:pPr>
            <w:r w:rsidRPr="00A17E66">
              <w:rPr>
                <w:rFonts w:asciiTheme="majorHAnsi" w:hAnsiTheme="majorHAnsi" w:cstheme="majorHAnsi"/>
                <w:sz w:val="22"/>
              </w:rPr>
              <w:t>Būtinas, kartu pateikti CE deklaracijos / sertifikato kopiją.</w:t>
            </w:r>
          </w:p>
        </w:tc>
      </w:tr>
    </w:tbl>
    <w:p w14:paraId="55F7657A" w14:textId="0EFCCE84" w:rsidR="00735D34" w:rsidRPr="00A17E66" w:rsidRDefault="00735D34">
      <w:pPr>
        <w:rPr>
          <w:rFonts w:asciiTheme="majorHAnsi" w:hAnsiTheme="majorHAnsi" w:cstheme="majorHAnsi"/>
          <w:sz w:val="22"/>
        </w:rPr>
      </w:pPr>
    </w:p>
    <w:bookmarkEnd w:id="1"/>
    <w:p w14:paraId="4A4B0C5C" w14:textId="6CC7C465" w:rsidR="00683C0C" w:rsidRPr="00A17E66" w:rsidRDefault="00A17E66" w:rsidP="00A17E66">
      <w:pPr>
        <w:jc w:val="center"/>
        <w:rPr>
          <w:rFonts w:asciiTheme="majorHAnsi" w:hAnsiTheme="majorHAnsi" w:cstheme="majorHAnsi"/>
          <w:sz w:val="22"/>
        </w:rPr>
      </w:pPr>
      <w:r w:rsidRPr="00A17E66">
        <w:rPr>
          <w:rFonts w:asciiTheme="majorHAnsi" w:hAnsiTheme="majorHAnsi" w:cstheme="majorHAnsi"/>
          <w:b/>
          <w:i/>
          <w:sz w:val="22"/>
        </w:rPr>
        <w:t>_____________________________</w:t>
      </w:r>
    </w:p>
    <w:sectPr w:rsidR="00683C0C" w:rsidRPr="00A17E66" w:rsidSect="00A17E66">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 w15:restartNumberingAfterBreak="0">
    <w:nsid w:val="1C117BB3"/>
    <w:multiLevelType w:val="multilevel"/>
    <w:tmpl w:val="F8B24964"/>
    <w:lvl w:ilvl="0">
      <w:start w:val="1"/>
      <w:numFmt w:val="decimal"/>
      <w:lvlText w:val="%1."/>
      <w:lvlJc w:val="left"/>
      <w:pPr>
        <w:tabs>
          <w:tab w:val="num" w:pos="207"/>
        </w:tabs>
        <w:ind w:left="927" w:hanging="360"/>
      </w:pPr>
      <w:rPr>
        <w:b w:val="0"/>
        <w:bCs w:val="0"/>
        <w:i w:val="0"/>
        <w:i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A42726"/>
    <w:multiLevelType w:val="multilevel"/>
    <w:tmpl w:val="FB72F8EC"/>
    <w:lvl w:ilvl="0">
      <w:start w:val="1"/>
      <w:numFmt w:val="decimal"/>
      <w:lvlText w:val="%1."/>
      <w:lvlJc w:val="left"/>
      <w:pPr>
        <w:tabs>
          <w:tab w:val="num" w:pos="276"/>
        </w:tabs>
        <w:ind w:left="1353" w:hanging="360"/>
      </w:pPr>
      <w:rPr>
        <w:rFonts w:ascii="Times New Roman" w:hAnsi="Times New Roman" w:cs="Times New Roman" w:hint="default"/>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9F6CF8"/>
    <w:multiLevelType w:val="multilevel"/>
    <w:tmpl w:val="4AD41C1E"/>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num w:numId="1" w16cid:durableId="664743979">
    <w:abstractNumId w:val="0"/>
  </w:num>
  <w:num w:numId="2" w16cid:durableId="1666934025">
    <w:abstractNumId w:val="2"/>
  </w:num>
  <w:num w:numId="3" w16cid:durableId="335039072">
    <w:abstractNumId w:val="3"/>
  </w:num>
  <w:num w:numId="4" w16cid:durableId="1000813777">
    <w:abstractNumId w:val="4"/>
  </w:num>
  <w:num w:numId="5" w16cid:durableId="725103699">
    <w:abstractNumId w:val="1"/>
  </w:num>
  <w:num w:numId="6" w16cid:durableId="401752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37267"/>
    <w:rsid w:val="000D77EF"/>
    <w:rsid w:val="000E1C43"/>
    <w:rsid w:val="001B78B6"/>
    <w:rsid w:val="001D3FDB"/>
    <w:rsid w:val="001E7A02"/>
    <w:rsid w:val="0029411E"/>
    <w:rsid w:val="00326B6E"/>
    <w:rsid w:val="00352907"/>
    <w:rsid w:val="003C3231"/>
    <w:rsid w:val="004440E7"/>
    <w:rsid w:val="00452D65"/>
    <w:rsid w:val="00462BCF"/>
    <w:rsid w:val="00557D80"/>
    <w:rsid w:val="0057797F"/>
    <w:rsid w:val="005C3B30"/>
    <w:rsid w:val="00633294"/>
    <w:rsid w:val="00675514"/>
    <w:rsid w:val="00683C0C"/>
    <w:rsid w:val="00735D34"/>
    <w:rsid w:val="007A02F5"/>
    <w:rsid w:val="00856D80"/>
    <w:rsid w:val="008778CE"/>
    <w:rsid w:val="008D3B2D"/>
    <w:rsid w:val="00913715"/>
    <w:rsid w:val="009F69B1"/>
    <w:rsid w:val="00A17E66"/>
    <w:rsid w:val="00A50791"/>
    <w:rsid w:val="00AA021C"/>
    <w:rsid w:val="00BB1194"/>
    <w:rsid w:val="00CB42B6"/>
    <w:rsid w:val="00D12884"/>
    <w:rsid w:val="00D40DF5"/>
    <w:rsid w:val="00DC38BE"/>
    <w:rsid w:val="00E21726"/>
    <w:rsid w:val="00E53C87"/>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Antrats">
    <w:name w:val="header"/>
    <w:basedOn w:val="prastasis"/>
    <w:link w:val="AntratsDiagrama"/>
    <w:rsid w:val="00A17E66"/>
    <w:pPr>
      <w:tabs>
        <w:tab w:val="center" w:pos="4320"/>
        <w:tab w:val="right" w:pos="8640"/>
      </w:tabs>
      <w:autoSpaceDN/>
      <w:spacing w:after="0" w:line="240" w:lineRule="auto"/>
      <w:textAlignment w:val="auto"/>
    </w:pPr>
    <w:rPr>
      <w:rFonts w:eastAsia="Times New Roman"/>
      <w:sz w:val="20"/>
      <w:szCs w:val="20"/>
      <w:lang w:val="en-US" w:eastAsia="zh-CN"/>
    </w:rPr>
  </w:style>
  <w:style w:type="character" w:customStyle="1" w:styleId="AntratsDiagrama">
    <w:name w:val="Antraštės Diagrama"/>
    <w:basedOn w:val="Numatytasispastraiposriftas"/>
    <w:link w:val="Antrats"/>
    <w:rsid w:val="00A17E66"/>
    <w:rPr>
      <w:rFonts w:ascii="Times New Roman" w:eastAsia="Times New Roman" w:hAnsi="Times New Roman" w:cs="Times New Roman"/>
      <w:sz w:val="20"/>
      <w:szCs w:val="20"/>
      <w:lang w:val="en-US" w:eastAsia="zh-CN"/>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not in Table,Bullet"/>
    <w:basedOn w:val="prastasis"/>
    <w:link w:val="SraopastraipaDiagrama"/>
    <w:uiPriority w:val="34"/>
    <w:qFormat/>
    <w:rsid w:val="00A17E66"/>
    <w:pPr>
      <w:autoSpaceDN/>
      <w:spacing w:after="0" w:line="240" w:lineRule="auto"/>
      <w:ind w:left="720"/>
      <w:contextualSpacing/>
      <w:textAlignment w:val="auto"/>
    </w:pPr>
    <w:rPr>
      <w:rFonts w:eastAsia="Times New Roman"/>
      <w:szCs w:val="20"/>
      <w:lang w:eastAsia="zh-CN"/>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A17E66"/>
    <w:rPr>
      <w:rFonts w:ascii="Times New Roman" w:eastAsia="Times New Roman" w:hAnsi="Times New Roman" w:cs="Times New Roman"/>
      <w:sz w:val="24"/>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6237</Words>
  <Characters>3556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9</cp:revision>
  <dcterms:created xsi:type="dcterms:W3CDTF">2025-04-06T17:45:00Z</dcterms:created>
  <dcterms:modified xsi:type="dcterms:W3CDTF">2025-04-08T10:38:00Z</dcterms:modified>
</cp:coreProperties>
</file>